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简体" w:hAnsi="方正小标宋简体" w:eastAsia="方正小标宋简体" w:cs="方正小标宋简体"/>
          <w:b/>
          <w:bCs/>
          <w:sz w:val="36"/>
          <w:szCs w:val="36"/>
        </w:rPr>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阿曼铜选矿厂项目部</w:t>
      </w:r>
      <w:r>
        <w:rPr>
          <w:rFonts w:hint="eastAsia" w:ascii="方正小标宋简体" w:hAnsi="方正小标宋简体" w:eastAsia="方正小标宋简体" w:cs="方正小标宋简体"/>
          <w:b/>
          <w:bCs/>
          <w:color w:val="FF0000"/>
          <w:sz w:val="36"/>
          <w:szCs w:val="36"/>
        </w:rPr>
        <w:t>越野轮胎式汽车吊</w:t>
      </w:r>
      <w:r>
        <w:rPr>
          <w:rFonts w:hint="eastAsia" w:ascii="方正小标宋简体" w:hAnsi="方正小标宋简体" w:eastAsia="方正小标宋简体" w:cs="方正小标宋简体"/>
          <w:b/>
          <w:bCs/>
          <w:sz w:val="36"/>
          <w:szCs w:val="36"/>
        </w:rPr>
        <w:t>招标文件</w:t>
      </w:r>
    </w:p>
    <w:p>
      <w:pPr>
        <w:pStyle w:val="2"/>
        <w:ind w:firstLine="1681" w:firstLineChars="800"/>
        <w:jc w:val="center"/>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bCs/>
          <w:sz w:val="21"/>
          <w:szCs w:val="21"/>
        </w:rPr>
        <w:t>AMIN</w:t>
      </w:r>
      <w:r>
        <w:rPr>
          <w:rFonts w:hint="eastAsia" w:ascii="方正小标宋简体" w:hAnsi="方正小标宋简体" w:eastAsia="方正小标宋简体" w:cs="方正小标宋简体"/>
          <w:b/>
          <w:bCs/>
          <w:sz w:val="21"/>
          <w:szCs w:val="21"/>
          <w:lang w:val="en-US" w:eastAsia="zh-CN"/>
        </w:rPr>
        <w:t xml:space="preserve"> TXKC</w:t>
      </w:r>
      <w:r>
        <w:rPr>
          <w:rFonts w:hint="eastAsia" w:ascii="方正小标宋简体" w:hAnsi="方正小标宋简体" w:eastAsia="方正小标宋简体" w:cs="方正小标宋简体"/>
          <w:b/>
          <w:bCs/>
          <w:sz w:val="21"/>
          <w:szCs w:val="21"/>
        </w:rPr>
        <w:t xml:space="preserve"> Project Departemen Pengadaan </w:t>
      </w:r>
      <w:r>
        <w:rPr>
          <w:rFonts w:ascii="方正小标宋简体" w:hAnsi="方正小标宋简体" w:eastAsia="方正小标宋简体" w:cs="方正小标宋简体"/>
          <w:b/>
          <w:bCs/>
          <w:color w:val="FF0000"/>
          <w:sz w:val="21"/>
          <w:szCs w:val="21"/>
        </w:rPr>
        <w:t>Off-road tire crane</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sz w:val="21"/>
          <w:szCs w:val="21"/>
        </w:rPr>
        <w:t>Material Dokumen</w:t>
      </w:r>
    </w:p>
    <w:p>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标书编号：SGS-YNAMTXKCXM-2024-W002-FW</w:t>
      </w:r>
    </w:p>
    <w:p>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tender：SGS-YNAMTXKCXM-2024-W002-FW</w:t>
      </w:r>
    </w:p>
    <w:p>
      <w:pPr>
        <w:pStyle w:val="2"/>
        <w:ind w:firstLine="0" w:firstLineChars="0"/>
      </w:pPr>
    </w:p>
    <w:p>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pPr>
        <w:pStyle w:val="2"/>
        <w:jc w:val="center"/>
      </w:pPr>
      <w:r>
        <w:rPr>
          <w:rFonts w:hint="eastAsia"/>
        </w:rPr>
        <w:t>Pengumuman tender</w:t>
      </w:r>
    </w:p>
    <w:p>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pPr>
        <w:pStyle w:val="2"/>
        <w:jc w:val="center"/>
      </w:pPr>
      <w:r>
        <w:rPr>
          <w:rFonts w:hint="eastAsia"/>
        </w:rPr>
        <w:t>Pemberitahuan Peserta Tender</w:t>
      </w:r>
    </w:p>
    <w:p>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pPr>
        <w:pStyle w:val="2"/>
        <w:jc w:val="center"/>
      </w:pPr>
      <w:r>
        <w:rPr>
          <w:rFonts w:hint="eastAsia"/>
        </w:rPr>
        <w:t>Daftar pembelian dan penawaran</w:t>
      </w:r>
    </w:p>
    <w:p>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pPr>
        <w:pStyle w:val="2"/>
        <w:jc w:val="center"/>
        <w:rPr>
          <w:rFonts w:hint="eastAsia" w:ascii="仿宋_GB2312" w:hAnsi="仿宋_GB2312" w:cs="仿宋_GB2312"/>
          <w:b/>
          <w:sz w:val="32"/>
          <w:szCs w:val="32"/>
          <w:u w:val="single"/>
        </w:rPr>
      </w:pPr>
      <w:r>
        <w:rPr>
          <w:rFonts w:hint="eastAsia"/>
        </w:rPr>
        <w:t>Syarat-Syarat Kontrak</w:t>
      </w:r>
    </w:p>
    <w:p>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pPr>
        <w:pStyle w:val="2"/>
        <w:jc w:val="center"/>
        <w:rPr>
          <w:szCs w:val="22"/>
        </w:rPr>
      </w:pPr>
      <w:r>
        <w:rPr>
          <w:rFonts w:hint="eastAsia"/>
          <w:szCs w:val="22"/>
        </w:rPr>
        <w:t>PT.MCC15 ENGINEERING AND CONSTRUCTION</w:t>
      </w:r>
    </w:p>
    <w:p>
      <w:pPr>
        <w:pStyle w:val="3"/>
        <w:rPr>
          <w:lang w:eastAsia="en-US"/>
        </w:rPr>
      </w:pPr>
    </w:p>
    <w:p>
      <w:pPr>
        <w:spacing w:line="360" w:lineRule="auto"/>
        <w:jc w:val="center"/>
        <w:rPr>
          <w:rFonts w:hint="eastAsia" w:ascii="仿宋_GB2312" w:hAnsi="仿宋_GB2312" w:eastAsia="仿宋_GB2312"/>
          <w:b/>
          <w:color w:val="FF0000"/>
          <w:sz w:val="32"/>
        </w:rPr>
      </w:pPr>
      <w:r>
        <w:rPr>
          <w:rFonts w:hint="eastAsia" w:ascii="仿宋_GB2312" w:hAnsi="仿宋_GB2312" w:eastAsia="仿宋_GB2312"/>
          <w:b/>
          <w:color w:val="FF0000"/>
          <w:sz w:val="32"/>
        </w:rPr>
        <w:t>2024年09月29日</w:t>
      </w:r>
    </w:p>
    <w:p>
      <w:pPr>
        <w:pStyle w:val="2"/>
        <w:ind w:firstLine="0" w:firstLineChars="0"/>
        <w:jc w:val="center"/>
      </w:pPr>
      <w:r>
        <w:rPr>
          <w:rFonts w:hint="eastAsia"/>
        </w:rPr>
        <w:t>Selasa, 29 Sep 2024</w:t>
      </w:r>
    </w:p>
    <w:p>
      <w:pPr>
        <w:widowControl/>
        <w:shd w:val="clear" w:color="auto" w:fill="FFFFFF"/>
        <w:ind w:right="360" w:firstLine="3614" w:firstLineChars="1000"/>
        <w:rPr>
          <w:rFonts w:hint="eastAsia" w:ascii="宋体" w:hAnsi="宋体" w:cs="Tahoma"/>
          <w:b/>
          <w:bCs/>
          <w:kern w:val="0"/>
          <w:sz w:val="36"/>
          <w:szCs w:val="36"/>
        </w:rPr>
      </w:pPr>
    </w:p>
    <w:p>
      <w:pPr>
        <w:widowControl/>
        <w:shd w:val="clear" w:color="auto" w:fill="FFFFFF"/>
        <w:ind w:right="360" w:firstLine="3614" w:firstLineChars="1000"/>
        <w:rPr>
          <w:rFonts w:hint="eastAsia" w:ascii="宋体" w:hAnsi="宋体" w:cs="Tahoma"/>
          <w:b/>
          <w:bCs/>
          <w:kern w:val="0"/>
          <w:sz w:val="36"/>
          <w:szCs w:val="36"/>
        </w:rPr>
      </w:pPr>
    </w:p>
    <w:p>
      <w:pPr>
        <w:widowControl/>
        <w:shd w:val="clear" w:color="auto" w:fill="FFFFFF"/>
        <w:ind w:right="360" w:firstLine="3614" w:firstLineChars="1000"/>
        <w:rPr>
          <w:rFonts w:hint="eastAsia" w:ascii="宋体" w:hAnsi="宋体" w:cs="Tahoma"/>
          <w:b/>
          <w:bCs/>
          <w:kern w:val="0"/>
          <w:sz w:val="36"/>
          <w:szCs w:val="36"/>
        </w:rPr>
      </w:pPr>
      <w:r>
        <w:rPr>
          <w:rFonts w:hint="eastAsia" w:ascii="宋体" w:hAnsi="宋体" w:cs="Tahoma"/>
          <w:b/>
          <w:bCs/>
          <w:kern w:val="0"/>
          <w:sz w:val="36"/>
          <w:szCs w:val="36"/>
        </w:rPr>
        <w:t>招 标 公 告</w:t>
      </w:r>
    </w:p>
    <w:p>
      <w:pPr>
        <w:widowControl/>
        <w:shd w:val="clear" w:color="auto" w:fill="FFFFFF"/>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1.招标编号：SGS-YNAMTXKC-2024-W002-FW</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tender：SGS-YNAMTXKC-2024-W002-FW</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 十五冶建筑工程（印尼）有限公司阿曼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方正小标宋简体" w:hAnsi="方正小标宋简体" w:eastAsia="方正小标宋简体" w:cs="方正小标宋简体"/>
          <w:color w:val="auto"/>
          <w:sz w:val="28"/>
          <w:szCs w:val="28"/>
          <w:u w:val="single"/>
        </w:rPr>
        <w:t>越野轮式汽车吊</w:t>
      </w:r>
      <w:r>
        <w:rPr>
          <w:rFonts w:hint="eastAsia" w:ascii="仿宋_GB2312" w:hAnsi="仿宋_GB2312" w:eastAsia="仿宋_GB2312" w:cs="仿宋_GB2312"/>
          <w:color w:val="auto"/>
          <w:sz w:val="28"/>
          <w:szCs w:val="28"/>
        </w:rPr>
        <w:t>租</w:t>
      </w:r>
      <w:r>
        <w:rPr>
          <w:rFonts w:hint="eastAsia" w:ascii="仿宋_GB2312" w:hAnsi="仿宋_GB2312" w:eastAsia="仿宋_GB2312" w:cs="仿宋_GB2312"/>
          <w:sz w:val="28"/>
          <w:szCs w:val="28"/>
        </w:rPr>
        <w:t>赁服务招标</w:t>
      </w:r>
    </w:p>
    <w:p>
      <w:pPr>
        <w:spacing w:line="360" w:lineRule="auto"/>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Nama tender：PT.MCC15 ENGINEERING AND CONSTRUCTION AMIN</w:t>
      </w:r>
      <w:r>
        <w:rPr>
          <w:rFonts w:hint="eastAsia" w:ascii="仿宋_GB2312" w:hAnsi="仿宋_GB2312" w:eastAsia="仿宋_GB2312" w:cs="仿宋_GB2312"/>
          <w:sz w:val="28"/>
          <w:szCs w:val="28"/>
          <w:lang w:val="en-US" w:eastAsia="zh-CN"/>
        </w:rPr>
        <w:t xml:space="preserve"> TXKC</w:t>
      </w:r>
      <w:r>
        <w:rPr>
          <w:rFonts w:hint="eastAsia" w:ascii="仿宋_GB2312" w:hAnsi="仿宋_GB2312" w:eastAsia="仿宋_GB2312" w:cs="仿宋_GB2312"/>
          <w:sz w:val="28"/>
          <w:szCs w:val="28"/>
        </w:rPr>
        <w:t xml:space="preserve"> 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Off-road tire crane</w:t>
      </w:r>
      <w:r>
        <w:rPr>
          <w:rFonts w:hint="eastAsia" w:ascii="仿宋_GB2312" w:hAnsi="仿宋_GB2312" w:eastAsia="仿宋_GB2312" w:cs="仿宋_GB2312"/>
          <w:sz w:val="28"/>
          <w:szCs w:val="28"/>
        </w:rPr>
        <w:t xml:space="preserve">. </w:t>
      </w:r>
    </w:p>
    <w:p>
      <w:pPr>
        <w:spacing w:line="360" w:lineRule="auto"/>
      </w:pPr>
      <w:r>
        <w:rPr>
          <w:rFonts w:hint="eastAsia" w:ascii="仿宋_GB2312" w:hAnsi="仿宋_GB2312" w:eastAsia="仿宋_GB2312" w:cs="仿宋_GB2312"/>
          <w:sz w:val="28"/>
          <w:szCs w:val="28"/>
        </w:rPr>
        <w:t>3.具体规格、技术指标及售后服务要求等详见下表。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Spesifikasi khusus, indikator teknis, dan AFF （After Sales Service） rincian dalam tabel sbb.</w:t>
      </w:r>
    </w:p>
    <w:tbl>
      <w:tblPr>
        <w:tblStyle w:val="15"/>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857"/>
        <w:gridCol w:w="1881"/>
        <w:gridCol w:w="1131"/>
        <w:gridCol w:w="786"/>
        <w:gridCol w:w="679"/>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44" w:type="dxa"/>
            <w:vAlign w:val="center"/>
          </w:tcPr>
          <w:p>
            <w:pPr>
              <w:widowControl/>
              <w:spacing w:line="240" w:lineRule="exact"/>
              <w:jc w:val="center"/>
              <w:textAlignment w:val="center"/>
              <w:rPr>
                <w:b/>
                <w:bCs/>
                <w:sz w:val="15"/>
                <w:szCs w:val="15"/>
              </w:rPr>
            </w:pPr>
            <w:r>
              <w:rPr>
                <w:rFonts w:hint="eastAsia"/>
                <w:b/>
                <w:bCs/>
                <w:sz w:val="15"/>
                <w:szCs w:val="15"/>
              </w:rPr>
              <w:t>序号</w:t>
            </w:r>
          </w:p>
          <w:p>
            <w:pPr>
              <w:widowControl/>
              <w:spacing w:line="240" w:lineRule="exact"/>
              <w:jc w:val="center"/>
              <w:textAlignment w:val="center"/>
              <w:rPr>
                <w:b/>
                <w:bCs/>
                <w:sz w:val="15"/>
                <w:szCs w:val="15"/>
              </w:rPr>
            </w:pPr>
            <w:r>
              <w:rPr>
                <w:rFonts w:hint="eastAsia"/>
                <w:b/>
                <w:bCs/>
                <w:sz w:val="15"/>
                <w:szCs w:val="15"/>
              </w:rPr>
              <w:t>NO</w:t>
            </w:r>
          </w:p>
        </w:tc>
        <w:tc>
          <w:tcPr>
            <w:tcW w:w="1857" w:type="dxa"/>
            <w:vAlign w:val="center"/>
          </w:tcPr>
          <w:p>
            <w:pPr>
              <w:widowControl/>
              <w:spacing w:line="240" w:lineRule="exact"/>
              <w:jc w:val="center"/>
              <w:textAlignment w:val="center"/>
              <w:rPr>
                <w:b/>
                <w:bCs/>
                <w:sz w:val="15"/>
                <w:szCs w:val="15"/>
              </w:rPr>
            </w:pPr>
            <w:r>
              <w:rPr>
                <w:rFonts w:hint="eastAsia"/>
                <w:b/>
                <w:bCs/>
                <w:sz w:val="15"/>
                <w:szCs w:val="15"/>
              </w:rPr>
              <w:t>货物名称</w:t>
            </w:r>
          </w:p>
          <w:p>
            <w:pPr>
              <w:widowControl/>
              <w:spacing w:line="240" w:lineRule="exact"/>
              <w:jc w:val="center"/>
              <w:textAlignment w:val="center"/>
              <w:rPr>
                <w:b/>
                <w:bCs/>
                <w:sz w:val="15"/>
                <w:szCs w:val="15"/>
              </w:rPr>
            </w:pPr>
            <w:r>
              <w:rPr>
                <w:rFonts w:hint="eastAsia"/>
                <w:b/>
                <w:bCs/>
                <w:sz w:val="15"/>
                <w:szCs w:val="15"/>
              </w:rPr>
              <w:t>Jenis Barang</w:t>
            </w:r>
          </w:p>
        </w:tc>
        <w:tc>
          <w:tcPr>
            <w:tcW w:w="857" w:type="dxa"/>
            <w:vAlign w:val="center"/>
          </w:tcPr>
          <w:p>
            <w:pPr>
              <w:widowControl/>
              <w:spacing w:line="240" w:lineRule="exact"/>
              <w:jc w:val="center"/>
              <w:textAlignment w:val="center"/>
              <w:rPr>
                <w:b/>
                <w:bCs/>
                <w:sz w:val="15"/>
                <w:szCs w:val="15"/>
              </w:rPr>
            </w:pPr>
            <w:r>
              <w:rPr>
                <w:rFonts w:hint="eastAsia"/>
                <w:b/>
                <w:bCs/>
                <w:sz w:val="15"/>
                <w:szCs w:val="15"/>
              </w:rPr>
              <w:t>规格型号</w:t>
            </w:r>
          </w:p>
          <w:p>
            <w:pPr>
              <w:widowControl/>
              <w:spacing w:line="240" w:lineRule="exact"/>
              <w:jc w:val="center"/>
              <w:textAlignment w:val="center"/>
              <w:rPr>
                <w:b/>
                <w:bCs/>
                <w:sz w:val="15"/>
                <w:szCs w:val="15"/>
              </w:rPr>
            </w:pPr>
            <w:r>
              <w:rPr>
                <w:rFonts w:hint="eastAsia"/>
                <w:b/>
                <w:bCs/>
                <w:sz w:val="15"/>
                <w:szCs w:val="15"/>
              </w:rPr>
              <w:t>Model</w:t>
            </w:r>
          </w:p>
        </w:tc>
        <w:tc>
          <w:tcPr>
            <w:tcW w:w="1881" w:type="dxa"/>
            <w:vAlign w:val="center"/>
          </w:tcPr>
          <w:p>
            <w:pPr>
              <w:widowControl/>
              <w:spacing w:line="240" w:lineRule="exact"/>
              <w:jc w:val="center"/>
              <w:textAlignment w:val="center"/>
              <w:rPr>
                <w:b/>
                <w:bCs/>
                <w:sz w:val="15"/>
                <w:szCs w:val="15"/>
              </w:rPr>
            </w:pPr>
            <w:r>
              <w:rPr>
                <w:rFonts w:hint="eastAsia"/>
                <w:b/>
                <w:bCs/>
                <w:sz w:val="15"/>
                <w:szCs w:val="15"/>
              </w:rPr>
              <w:t>标准/技术要求Standard / technical requirements</w:t>
            </w:r>
          </w:p>
        </w:tc>
        <w:tc>
          <w:tcPr>
            <w:tcW w:w="1131" w:type="dxa"/>
            <w:vAlign w:val="center"/>
          </w:tcPr>
          <w:p>
            <w:pPr>
              <w:widowControl/>
              <w:spacing w:line="240" w:lineRule="exact"/>
              <w:jc w:val="center"/>
              <w:textAlignment w:val="center"/>
              <w:rPr>
                <w:b/>
                <w:bCs/>
                <w:sz w:val="15"/>
                <w:szCs w:val="15"/>
              </w:rPr>
            </w:pPr>
            <w:r>
              <w:rPr>
                <w:rFonts w:hint="eastAsia"/>
                <w:b/>
                <w:bCs/>
                <w:sz w:val="15"/>
                <w:szCs w:val="15"/>
              </w:rPr>
              <w:t>计量单位Satuan</w:t>
            </w:r>
          </w:p>
        </w:tc>
        <w:tc>
          <w:tcPr>
            <w:tcW w:w="786" w:type="dxa"/>
            <w:vAlign w:val="center"/>
          </w:tcPr>
          <w:p>
            <w:pPr>
              <w:widowControl/>
              <w:spacing w:line="240" w:lineRule="exact"/>
              <w:jc w:val="center"/>
              <w:textAlignment w:val="center"/>
              <w:rPr>
                <w:b/>
                <w:bCs/>
                <w:sz w:val="15"/>
                <w:szCs w:val="15"/>
              </w:rPr>
            </w:pPr>
            <w:r>
              <w:rPr>
                <w:rFonts w:hint="eastAsia"/>
                <w:b/>
                <w:bCs/>
                <w:sz w:val="15"/>
                <w:szCs w:val="15"/>
              </w:rPr>
              <w:t>需求数量Qty</w:t>
            </w:r>
          </w:p>
        </w:tc>
        <w:tc>
          <w:tcPr>
            <w:tcW w:w="679" w:type="dxa"/>
            <w:tcBorders>
              <w:right w:val="single" w:color="auto" w:sz="4" w:space="0"/>
            </w:tcBorders>
            <w:vAlign w:val="center"/>
          </w:tcPr>
          <w:p>
            <w:pPr>
              <w:widowControl/>
              <w:spacing w:line="240" w:lineRule="exact"/>
              <w:jc w:val="center"/>
              <w:textAlignment w:val="center"/>
              <w:rPr>
                <w:b/>
                <w:bCs/>
                <w:sz w:val="15"/>
                <w:szCs w:val="15"/>
              </w:rPr>
            </w:pPr>
            <w:r>
              <w:rPr>
                <w:rFonts w:hint="eastAsia"/>
                <w:b/>
                <w:bCs/>
                <w:sz w:val="15"/>
                <w:szCs w:val="15"/>
              </w:rPr>
              <w:t>设备台数</w:t>
            </w:r>
          </w:p>
        </w:tc>
        <w:tc>
          <w:tcPr>
            <w:tcW w:w="20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b/>
                <w:bCs/>
                <w:sz w:val="15"/>
                <w:szCs w:val="15"/>
              </w:rPr>
            </w:pPr>
            <w:r>
              <w:rPr>
                <w:rFonts w:hint="eastAsia"/>
                <w:b/>
                <w:bCs/>
                <w:sz w:val="15"/>
                <w:szCs w:val="15"/>
              </w:rPr>
              <w:t>备注</w:t>
            </w:r>
          </w:p>
          <w:p>
            <w:pPr>
              <w:widowControl/>
              <w:spacing w:line="240" w:lineRule="exact"/>
              <w:jc w:val="center"/>
              <w:textAlignment w:val="center"/>
              <w:rPr>
                <w:b/>
                <w:bCs/>
                <w:sz w:val="15"/>
                <w:szCs w:val="15"/>
              </w:rPr>
            </w:pPr>
            <w:r>
              <w:rPr>
                <w:rFonts w:hint="eastAsia"/>
                <w:b/>
                <w:bCs/>
                <w:sz w:val="15"/>
                <w:szCs w:val="15"/>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44" w:type="dxa"/>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越野轮式汽车吊</w:t>
            </w:r>
          </w:p>
        </w:tc>
        <w:tc>
          <w:tcPr>
            <w:tcW w:w="857"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100T</w:t>
            </w:r>
          </w:p>
        </w:tc>
        <w:tc>
          <w:tcPr>
            <w:tcW w:w="1881" w:type="dxa"/>
            <w:vAlign w:val="center"/>
          </w:tcPr>
          <w:p>
            <w:pPr>
              <w:jc w:val="center"/>
              <w:rPr>
                <w:b/>
                <w:bCs/>
                <w:szCs w:val="21"/>
              </w:rPr>
            </w:pPr>
          </w:p>
        </w:tc>
        <w:tc>
          <w:tcPr>
            <w:tcW w:w="1131" w:type="dxa"/>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0"/>
                <w:szCs w:val="20"/>
                <w:lang w:bidi="ar"/>
              </w:rPr>
              <w:t>月</w:t>
            </w:r>
          </w:p>
        </w:tc>
        <w:tc>
          <w:tcPr>
            <w:tcW w:w="786" w:type="dxa"/>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0"/>
                <w:szCs w:val="20"/>
                <w:lang w:bidi="ar"/>
              </w:rPr>
              <w:t>6</w:t>
            </w:r>
          </w:p>
        </w:tc>
        <w:tc>
          <w:tcPr>
            <w:tcW w:w="679"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1</w:t>
            </w:r>
          </w:p>
        </w:tc>
        <w:tc>
          <w:tcPr>
            <w:tcW w:w="2031" w:type="dxa"/>
            <w:tcBorders>
              <w:top w:val="single" w:color="auto" w:sz="4" w:space="0"/>
              <w:bottom w:val="single" w:color="auto" w:sz="4" w:space="0"/>
            </w:tcBorders>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每月270小时作业，每台设备配备1位司机、1位起重工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544" w:type="dxa"/>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2</w:t>
            </w:r>
          </w:p>
        </w:tc>
        <w:tc>
          <w:tcPr>
            <w:tcW w:w="1857"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越野轮式汽车吊</w:t>
            </w:r>
          </w:p>
        </w:tc>
        <w:tc>
          <w:tcPr>
            <w:tcW w:w="857"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60T</w:t>
            </w:r>
          </w:p>
        </w:tc>
        <w:tc>
          <w:tcPr>
            <w:tcW w:w="1881" w:type="dxa"/>
            <w:vAlign w:val="center"/>
          </w:tcPr>
          <w:p>
            <w:pPr>
              <w:jc w:val="center"/>
              <w:rPr>
                <w:b/>
                <w:bCs/>
                <w:szCs w:val="21"/>
              </w:rPr>
            </w:pPr>
          </w:p>
        </w:tc>
        <w:tc>
          <w:tcPr>
            <w:tcW w:w="1131" w:type="dxa"/>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0"/>
                <w:szCs w:val="20"/>
                <w:lang w:bidi="ar"/>
              </w:rPr>
              <w:t>月</w:t>
            </w:r>
          </w:p>
        </w:tc>
        <w:tc>
          <w:tcPr>
            <w:tcW w:w="786" w:type="dxa"/>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0"/>
                <w:szCs w:val="20"/>
                <w:lang w:bidi="ar"/>
              </w:rPr>
              <w:t>6</w:t>
            </w:r>
          </w:p>
        </w:tc>
        <w:tc>
          <w:tcPr>
            <w:tcW w:w="679"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1</w:t>
            </w:r>
          </w:p>
        </w:tc>
        <w:tc>
          <w:tcPr>
            <w:tcW w:w="2031" w:type="dxa"/>
            <w:tcBorders>
              <w:top w:val="single" w:color="auto" w:sz="4" w:space="0"/>
              <w:bottom w:val="single" w:color="auto" w:sz="4" w:space="0"/>
            </w:tcBorders>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每月270小时作业，每台设备配备1位司机、1位起重工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44" w:type="dxa"/>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3</w:t>
            </w:r>
          </w:p>
        </w:tc>
        <w:tc>
          <w:tcPr>
            <w:tcW w:w="1857" w:type="dxa"/>
            <w:vAlign w:val="center"/>
          </w:tcPr>
          <w:p>
            <w:pPr>
              <w:widowControl/>
              <w:jc w:val="center"/>
              <w:textAlignment w:val="center"/>
              <w:rPr>
                <w:b/>
                <w:bCs/>
                <w:szCs w:val="21"/>
              </w:rPr>
            </w:pPr>
            <w:r>
              <w:rPr>
                <w:rFonts w:hint="eastAsia" w:ascii="宋体" w:hAnsi="宋体" w:cs="宋体"/>
                <w:b/>
                <w:bCs/>
                <w:color w:val="000000"/>
                <w:kern w:val="0"/>
                <w:sz w:val="20"/>
                <w:szCs w:val="20"/>
                <w:lang w:bidi="ar"/>
              </w:rPr>
              <w:t>进出场费</w:t>
            </w:r>
          </w:p>
        </w:tc>
        <w:tc>
          <w:tcPr>
            <w:tcW w:w="857" w:type="dxa"/>
            <w:vAlign w:val="center"/>
          </w:tcPr>
          <w:p>
            <w:pPr>
              <w:widowControl/>
              <w:jc w:val="center"/>
              <w:textAlignment w:val="center"/>
              <w:rPr>
                <w:b/>
                <w:bCs/>
                <w:szCs w:val="21"/>
              </w:rPr>
            </w:pPr>
            <w:r>
              <w:rPr>
                <w:rFonts w:hint="eastAsia"/>
                <w:b/>
                <w:bCs/>
                <w:szCs w:val="21"/>
              </w:rPr>
              <w:t>100T</w:t>
            </w:r>
          </w:p>
        </w:tc>
        <w:tc>
          <w:tcPr>
            <w:tcW w:w="1881" w:type="dxa"/>
            <w:vAlign w:val="center"/>
          </w:tcPr>
          <w:p>
            <w:pPr>
              <w:jc w:val="center"/>
              <w:rPr>
                <w:b/>
                <w:bCs/>
                <w:szCs w:val="21"/>
              </w:rPr>
            </w:pPr>
          </w:p>
        </w:tc>
        <w:tc>
          <w:tcPr>
            <w:tcW w:w="1131" w:type="dxa"/>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0"/>
                <w:szCs w:val="20"/>
                <w:lang w:bidi="ar"/>
              </w:rPr>
              <w:t>次</w:t>
            </w:r>
          </w:p>
        </w:tc>
        <w:tc>
          <w:tcPr>
            <w:tcW w:w="786" w:type="dxa"/>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 w:val="20"/>
                <w:szCs w:val="20"/>
                <w:lang w:bidi="ar"/>
              </w:rPr>
              <w:t>1</w:t>
            </w:r>
          </w:p>
        </w:tc>
        <w:tc>
          <w:tcPr>
            <w:tcW w:w="679" w:type="dxa"/>
            <w:vAlign w:val="center"/>
          </w:tcPr>
          <w:p>
            <w:pPr>
              <w:widowControl/>
              <w:jc w:val="center"/>
              <w:textAlignment w:val="center"/>
              <w:rPr>
                <w:rFonts w:hint="eastAsia" w:eastAsia="宋体"/>
                <w:b/>
                <w:bCs/>
                <w:szCs w:val="21"/>
                <w:lang w:val="en-US" w:eastAsia="zh-CN"/>
              </w:rPr>
            </w:pPr>
            <w:r>
              <w:rPr>
                <w:rFonts w:hint="eastAsia"/>
                <w:b/>
                <w:bCs/>
                <w:szCs w:val="21"/>
                <w:lang w:val="en-US" w:eastAsia="zh-CN"/>
              </w:rPr>
              <w:t>1</w:t>
            </w:r>
          </w:p>
        </w:tc>
        <w:tc>
          <w:tcPr>
            <w:tcW w:w="2031" w:type="dxa"/>
            <w:tcBorders>
              <w:top w:val="single" w:color="auto" w:sz="4" w:space="0"/>
              <w:bottom w:val="single" w:color="auto" w:sz="4" w:space="0"/>
            </w:tcBorders>
            <w:vAlign w:val="center"/>
          </w:tcPr>
          <w:p>
            <w:pPr>
              <w:widowControl/>
              <w:jc w:val="center"/>
              <w:textAlignment w:val="center"/>
              <w:rPr>
                <w:rFonts w:hint="eastAsia" w:ascii="宋体" w:hAnsi="宋体" w:cs="宋体"/>
                <w:b/>
                <w:bCs/>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44" w:type="dxa"/>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4</w:t>
            </w:r>
          </w:p>
        </w:tc>
        <w:tc>
          <w:tcPr>
            <w:tcW w:w="1857" w:type="dxa"/>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进出场费</w:t>
            </w:r>
          </w:p>
        </w:tc>
        <w:tc>
          <w:tcPr>
            <w:tcW w:w="857" w:type="dxa"/>
            <w:vAlign w:val="center"/>
          </w:tcPr>
          <w:p>
            <w:pPr>
              <w:widowControl/>
              <w:jc w:val="center"/>
              <w:textAlignment w:val="center"/>
              <w:rPr>
                <w:b/>
                <w:bCs/>
                <w:szCs w:val="21"/>
              </w:rPr>
            </w:pPr>
            <w:r>
              <w:rPr>
                <w:rFonts w:hint="eastAsia"/>
                <w:b/>
                <w:bCs/>
                <w:szCs w:val="21"/>
              </w:rPr>
              <w:t>60T</w:t>
            </w:r>
          </w:p>
        </w:tc>
        <w:tc>
          <w:tcPr>
            <w:tcW w:w="1881" w:type="dxa"/>
            <w:vAlign w:val="center"/>
          </w:tcPr>
          <w:p>
            <w:pPr>
              <w:jc w:val="center"/>
              <w:rPr>
                <w:b/>
                <w:bCs/>
                <w:szCs w:val="21"/>
              </w:rPr>
            </w:pPr>
          </w:p>
        </w:tc>
        <w:tc>
          <w:tcPr>
            <w:tcW w:w="1131" w:type="dxa"/>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次</w:t>
            </w:r>
          </w:p>
        </w:tc>
        <w:tc>
          <w:tcPr>
            <w:tcW w:w="786" w:type="dxa"/>
            <w:vAlign w:val="center"/>
          </w:tcPr>
          <w:p>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679" w:type="dxa"/>
            <w:vAlign w:val="center"/>
          </w:tcPr>
          <w:p>
            <w:pPr>
              <w:widowControl/>
              <w:jc w:val="center"/>
              <w:textAlignment w:val="center"/>
              <w:rPr>
                <w:rFonts w:hint="eastAsia" w:eastAsia="宋体"/>
                <w:b/>
                <w:bCs/>
                <w:szCs w:val="21"/>
                <w:lang w:val="en-US" w:eastAsia="zh-CN"/>
              </w:rPr>
            </w:pPr>
            <w:r>
              <w:rPr>
                <w:rFonts w:hint="eastAsia"/>
                <w:b/>
                <w:bCs/>
                <w:szCs w:val="21"/>
                <w:lang w:val="en-US" w:eastAsia="zh-CN"/>
              </w:rPr>
              <w:t>1</w:t>
            </w:r>
          </w:p>
        </w:tc>
        <w:tc>
          <w:tcPr>
            <w:tcW w:w="2031" w:type="dxa"/>
            <w:tcBorders>
              <w:top w:val="single" w:color="auto" w:sz="4" w:space="0"/>
              <w:bottom w:val="single" w:color="auto" w:sz="4" w:space="0"/>
            </w:tcBorders>
            <w:vAlign w:val="center"/>
          </w:tcPr>
          <w:p>
            <w:pPr>
              <w:widowControl/>
              <w:jc w:val="center"/>
              <w:textAlignment w:val="center"/>
              <w:rPr>
                <w:rFonts w:hint="eastAsia" w:ascii="宋体" w:hAnsi="宋体" w:cs="宋体"/>
                <w:b/>
                <w:bCs/>
                <w:color w:val="000000"/>
                <w:kern w:val="0"/>
                <w:sz w:val="20"/>
                <w:szCs w:val="20"/>
                <w:lang w:bidi="ar"/>
              </w:rPr>
            </w:pPr>
          </w:p>
        </w:tc>
      </w:tr>
    </w:tbl>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于印尼雅加达时间 2024 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 10：00 时前、在</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2024年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：00时前、以邮件发送“投标文件（报价）方式”至</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邮箱（swyynam15mccwz@163.com）。</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Cara mendapatkan dokumen pengadaan: Pembeli akan mempublikasikan pengumuman pengadaan di situs web (http://www.pt-mcc15.cn/) pembeli yang relevan sebelum pukul 10:00 pada tanggal </w:t>
      </w:r>
      <w:r>
        <w:rPr>
          <w:rFonts w:hint="eastAsia" w:ascii="仿宋_GB2312" w:hAnsi="仿宋_GB2312" w:eastAsia="仿宋_GB2312" w:cs="仿宋_GB2312"/>
          <w:sz w:val="28"/>
          <w:szCs w:val="28"/>
          <w:lang w:val="en-US" w:eastAsia="zh-CN"/>
        </w:rPr>
        <w:t>01</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Oct</w:t>
      </w:r>
      <w:r>
        <w:rPr>
          <w:rFonts w:hint="eastAsia" w:ascii="仿宋_GB2312" w:hAnsi="仿宋_GB2312" w:eastAsia="仿宋_GB2312" w:cs="仿宋_GB2312"/>
          <w:sz w:val="28"/>
          <w:szCs w:val="28"/>
        </w:rPr>
        <w:t xml:space="preserve"> 2024 Jakarta, Indonesia, dan mereka yang tertarik untuk berpartisipasi dalam tanggapan (kutipan) harus mengirimkan "Metode dokumen tender (kutipan)" melalui email（swyynam15mccwz@163.com） ke kotak surat pembeli sebelum pukul 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:00 pada tanggal </w:t>
      </w:r>
      <w:r>
        <w:rPr>
          <w:rFonts w:hint="eastAsia" w:ascii="仿宋_GB2312" w:hAnsi="仿宋_GB2312" w:eastAsia="仿宋_GB2312" w:cs="仿宋_GB2312"/>
          <w:sz w:val="28"/>
          <w:szCs w:val="28"/>
          <w:lang w:val="en-US" w:eastAsia="zh-CN"/>
        </w:rPr>
        <w:t>09</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Oct</w:t>
      </w:r>
      <w:r>
        <w:rPr>
          <w:rFonts w:hint="eastAsia" w:ascii="仿宋_GB2312" w:hAnsi="仿宋_GB2312" w:eastAsia="仿宋_GB2312" w:cs="仿宋_GB2312"/>
          <w:sz w:val="28"/>
          <w:szCs w:val="28"/>
        </w:rPr>
        <w:t xml:space="preserve"> 2024 Jakarta, Indonesia.</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5.投标文件（报价）方式、截止时间：签章完整的应答文件扫描件于2024年</w:t>
      </w:r>
      <w:r>
        <w:rPr>
          <w:rFonts w:hint="eastAsia" w:ascii="仿宋_GB2312" w:hAnsi="仿宋_GB2312" w:eastAsia="仿宋_GB2312" w:cs="仿宋_GB2312"/>
          <w:sz w:val="28"/>
          <w:szCs w:val="28"/>
          <w:lang w:val="en-US" w:eastAsia="zh-CN"/>
        </w:rPr>
        <w:t>10月9</w:t>
      </w:r>
      <w:r>
        <w:rPr>
          <w:rFonts w:hint="eastAsia" w:ascii="仿宋_GB2312" w:hAnsi="仿宋_GB2312" w:eastAsia="仿宋_GB2312" w:cs="仿宋_GB2312"/>
          <w:sz w:val="28"/>
          <w:szCs w:val="28"/>
        </w:rPr>
        <w:t>日11：00时前以邮件方式发送至</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邮箱（swyynam15mccwz@163.com）。</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11:00 jatuh di tanggal 0</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Oct</w:t>
      </w:r>
      <w:r>
        <w:rPr>
          <w:rFonts w:hint="eastAsia" w:ascii="仿宋_GB2312" w:hAnsi="仿宋_GB2312" w:eastAsia="仿宋_GB2312" w:cs="仿宋_GB2312"/>
          <w:sz w:val="28"/>
          <w:szCs w:val="28"/>
        </w:rPr>
        <w:t xml:space="preserve"> 2024.</w:t>
      </w:r>
    </w:p>
    <w:p>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pPr>
        <w:pStyle w:val="16"/>
        <w:numPr>
          <w:ilvl w:val="0"/>
          <w:numId w:val="0"/>
        </w:numPr>
        <w:tabs>
          <w:tab w:val="clear" w:pos="360"/>
          <w:tab w:val="clear" w:pos="1814"/>
        </w:tabs>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pPr>
        <w:spacing w:line="360" w:lineRule="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书面通知后10天内设备到达阿曼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Waktu pengiriman:</w:t>
      </w:r>
      <w:r>
        <w:rPr>
          <w:rFonts w:ascii="仿宋_GB2312" w:hAnsi="仿宋_GB2312" w:eastAsia="仿宋_GB2312" w:cs="仿宋_GB2312"/>
          <w:sz w:val="28"/>
          <w:szCs w:val="28"/>
        </w:rPr>
        <w:t xml:space="preserve">Setelah menerima pemberitahuan tertulis dari pemegang tender ,peralatan tiba di lokasi proyek </w:t>
      </w:r>
      <w:r>
        <w:rPr>
          <w:rFonts w:hint="eastAsia" w:ascii="仿宋_GB2312" w:hAnsi="仿宋_GB2312" w:eastAsia="仿宋_GB2312" w:cs="仿宋_GB2312"/>
          <w:sz w:val="28"/>
          <w:szCs w:val="28"/>
        </w:rPr>
        <w:t>AMIN</w:t>
      </w:r>
      <w:r>
        <w:rPr>
          <w:rFonts w:hint="eastAsia" w:ascii="仿宋_GB2312" w:hAnsi="仿宋_GB2312" w:eastAsia="仿宋_GB2312" w:cs="仿宋_GB2312"/>
          <w:sz w:val="28"/>
          <w:szCs w:val="28"/>
          <w:lang w:val="en-US" w:eastAsia="zh-CN"/>
        </w:rPr>
        <w:t xml:space="preserve"> TXKC</w:t>
      </w:r>
      <w:r>
        <w:rPr>
          <w:rFonts w:ascii="仿宋_GB2312" w:hAnsi="仿宋_GB2312" w:eastAsia="仿宋_GB2312" w:cs="仿宋_GB2312"/>
          <w:sz w:val="28"/>
          <w:szCs w:val="28"/>
        </w:rPr>
        <w:t xml:space="preserve"> dalam waktu 10 hari</w:t>
      </w:r>
      <w:r>
        <w:rPr>
          <w:rFonts w:hint="eastAsia" w:ascii="仿宋_GB2312" w:hAnsi="仿宋_GB2312" w:eastAsia="仿宋_GB2312" w:cs="仿宋_GB2312"/>
          <w:sz w:val="28"/>
          <w:szCs w:val="28"/>
        </w:rPr>
        <w:t>.</w:t>
      </w:r>
    </w:p>
    <w:p>
      <w:pPr>
        <w:pStyle w:val="16"/>
        <w:numPr>
          <w:ilvl w:val="1"/>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8.付款方式：凭增值税专用发票税票、结算单于次月10日前交由承租方，承租方收到出租方交来的结算资料后一周内支付当期结算租金的100%。设备启用当月与退场当月按实际使用时间结算。</w:t>
      </w:r>
    </w:p>
    <w:p>
      <w:pPr>
        <w:pStyle w:val="18"/>
        <w:ind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pPr>
        <w:pStyle w:val="18"/>
        <w:ind w:firstLine="0" w:firstLineChars="0"/>
        <w:rPr>
          <w:rFonts w:hint="eastAsia" w:ascii="仿宋_GB2312" w:hAnsi="仿宋_GB2312" w:eastAsia="仿宋_GB2312" w:cs="仿宋_GB2312"/>
          <w:sz w:val="28"/>
          <w:szCs w:val="28"/>
        </w:rPr>
      </w:pPr>
    </w:p>
    <w:p>
      <w:pPr>
        <w:pStyle w:val="18"/>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w:t>
      </w:r>
      <w:bookmarkStart w:id="1" w:name="gxebd_organizationFullName_2"/>
      <w:r>
        <w:rPr>
          <w:rFonts w:hint="eastAsia" w:ascii="仿宋_GB2312" w:hAnsi="仿宋_GB2312" w:eastAsia="仿宋_GB2312" w:cs="仿宋_GB2312"/>
          <w:sz w:val="28"/>
          <w:szCs w:val="28"/>
        </w:rPr>
        <w:t>十五冶建筑工程（印尼）有限公司</w:t>
      </w:r>
      <w:bookmarkEnd w:id="1"/>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联系人Kontak：程帆 CHENG FAN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技术负责人Kepala Bidang Teknologi：熊正方081285307472</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联系方式Nomor kontak：082147492461</w:t>
      </w:r>
    </w:p>
    <w:p>
      <w:pPr>
        <w:spacing w:line="360" w:lineRule="auto"/>
        <w:rPr>
          <w:rFonts w:hint="eastAsia" w:ascii="楷体" w:hAnsi="楷体" w:eastAsia="楷体" w:cs="楷体"/>
          <w:b/>
          <w:bCs/>
          <w:sz w:val="28"/>
          <w:szCs w:val="28"/>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3"/>
          <w:rFonts w:hint="eastAsia" w:ascii="仿宋_GB2312" w:hAnsi="仿宋_GB2312" w:eastAsia="仿宋_GB2312" w:cs="仿宋_GB2312"/>
          <w:color w:val="auto"/>
          <w:sz w:val="28"/>
          <w:szCs w:val="28"/>
        </w:rPr>
        <w:t>swyynam15mccwz@163.com</w:t>
      </w:r>
      <w:r>
        <w:rPr>
          <w:rStyle w:val="13"/>
          <w:rFonts w:hint="eastAsia" w:ascii="仿宋_GB2312" w:hAnsi="仿宋_GB2312" w:eastAsia="仿宋_GB2312" w:cs="仿宋_GB2312"/>
          <w:sz w:val="28"/>
          <w:szCs w:val="28"/>
        </w:rPr>
        <w:br w:type="page"/>
      </w:r>
      <w:r>
        <w:rPr>
          <w:rStyle w:val="13"/>
          <w:rFonts w:hint="eastAsia" w:ascii="仿宋_GB2312" w:hAnsi="仿宋_GB2312" w:eastAsia="仿宋_GB2312" w:cs="仿宋_GB2312"/>
          <w:sz w:val="28"/>
          <w:szCs w:val="28"/>
        </w:rPr>
        <w:fldChar w:fldCharType="end"/>
      </w:r>
      <w:r>
        <w:rPr>
          <w:rFonts w:hint="eastAsia" w:ascii="楷体" w:hAnsi="楷体" w:eastAsia="楷体" w:cs="楷体"/>
          <w:b/>
          <w:bCs/>
          <w:sz w:val="28"/>
          <w:szCs w:val="28"/>
        </w:rPr>
        <w:t>投标人须知</w:t>
      </w:r>
    </w:p>
    <w:p>
      <w:pPr>
        <w:pStyle w:val="2"/>
        <w:ind w:firstLine="3840" w:firstLineChars="1600"/>
      </w:pPr>
      <w:r>
        <w:rPr>
          <w:rFonts w:hint="eastAsia"/>
        </w:rPr>
        <w:t>Informasi untuk penawar</w:t>
      </w:r>
    </w:p>
    <w:p>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r>
        <w:fldChar w:fldCharType="begin"/>
      </w:r>
      <w:r>
        <w:instrText xml:space="preserve"> HYPERLINK "mailto:投标人应仔细阅读和检查招标文件的全部内容。如发现内容或附件不全，应及时向采购方提出，以便补齐。如有疑问，应按在2024年%20%20月%20%20日%20%20点前通过swyynam15mccwz@163.com（邮箱号）将提出问题送达采购方，要求采购方对招标文件予以澄清。" </w:instrText>
      </w:r>
      <w:r>
        <w:fldChar w:fldCharType="separate"/>
      </w:r>
      <w:r>
        <w:rPr>
          <w:rStyle w:val="13"/>
          <w:rFonts w:hint="eastAsia" w:ascii="仿宋_GB2312" w:hAnsi="仿宋_GB2312" w:eastAsia="仿宋_GB2312" w:cs="仿宋_GB2312"/>
          <w:sz w:val="28"/>
          <w:szCs w:val="28"/>
        </w:rPr>
        <w:t>投标人应仔细阅读和检查招标文件的全部内容。如发现内容或附件不全，应及时向</w:t>
      </w:r>
      <w:r>
        <w:rPr>
          <w:rStyle w:val="13"/>
          <w:rFonts w:hint="eastAsia" w:ascii="仿宋_GB2312" w:hAnsi="仿宋_GB2312" w:eastAsia="仿宋_GB2312" w:cs="仿宋_GB2312"/>
          <w:sz w:val="28"/>
          <w:szCs w:val="28"/>
          <w:lang w:val="en-US" w:eastAsia="zh-CN"/>
        </w:rPr>
        <w:t>招标</w:t>
      </w:r>
      <w:r>
        <w:rPr>
          <w:rStyle w:val="13"/>
          <w:rFonts w:hint="eastAsia" w:ascii="仿宋_GB2312" w:hAnsi="仿宋_GB2312" w:eastAsia="仿宋_GB2312" w:cs="仿宋_GB2312"/>
          <w:sz w:val="28"/>
          <w:szCs w:val="28"/>
        </w:rPr>
        <w:t>方提出，以便补齐。如有疑问，应按在2024年</w:t>
      </w:r>
      <w:r>
        <w:rPr>
          <w:rStyle w:val="13"/>
          <w:rFonts w:hint="eastAsia" w:ascii="仿宋_GB2312" w:hAnsi="仿宋_GB2312" w:eastAsia="仿宋_GB2312" w:cs="仿宋_GB2312"/>
          <w:sz w:val="28"/>
          <w:szCs w:val="28"/>
          <w:lang w:val="en-US" w:eastAsia="zh-CN"/>
        </w:rPr>
        <w:t>10</w:t>
      </w:r>
      <w:r>
        <w:rPr>
          <w:rStyle w:val="13"/>
          <w:rFonts w:hint="eastAsia" w:ascii="仿宋_GB2312" w:hAnsi="仿宋_GB2312" w:eastAsia="仿宋_GB2312" w:cs="仿宋_GB2312"/>
          <w:sz w:val="28"/>
          <w:szCs w:val="28"/>
        </w:rPr>
        <w:t>月</w:t>
      </w:r>
      <w:r>
        <w:rPr>
          <w:rStyle w:val="13"/>
          <w:rFonts w:hint="eastAsia" w:ascii="仿宋_GB2312" w:hAnsi="仿宋_GB2312" w:eastAsia="仿宋_GB2312" w:cs="仿宋_GB2312"/>
          <w:sz w:val="28"/>
          <w:szCs w:val="28"/>
          <w:lang w:val="en-US" w:eastAsia="zh-CN"/>
        </w:rPr>
        <w:t>09</w:t>
      </w:r>
      <w:r>
        <w:rPr>
          <w:rStyle w:val="13"/>
          <w:rFonts w:hint="eastAsia" w:ascii="仿宋_GB2312" w:hAnsi="仿宋_GB2312" w:eastAsia="仿宋_GB2312" w:cs="仿宋_GB2312"/>
          <w:sz w:val="28"/>
          <w:szCs w:val="28"/>
        </w:rPr>
        <w:t>日</w:t>
      </w:r>
      <w:r>
        <w:rPr>
          <w:rStyle w:val="13"/>
          <w:rFonts w:hint="eastAsia" w:ascii="仿宋_GB2312" w:hAnsi="仿宋_GB2312" w:eastAsia="仿宋_GB2312" w:cs="仿宋_GB2312"/>
          <w:sz w:val="28"/>
          <w:szCs w:val="28"/>
          <w:lang w:val="en-US" w:eastAsia="zh-CN"/>
        </w:rPr>
        <w:t>8</w:t>
      </w:r>
      <w:r>
        <w:rPr>
          <w:rStyle w:val="13"/>
          <w:rFonts w:hint="eastAsia" w:ascii="仿宋_GB2312" w:hAnsi="仿宋_GB2312" w:eastAsia="仿宋_GB2312" w:cs="仿宋_GB2312"/>
          <w:sz w:val="28"/>
          <w:szCs w:val="28"/>
        </w:rPr>
        <w:t>点前通过</w:t>
      </w:r>
      <w:r>
        <w:rPr>
          <w:rStyle w:val="13"/>
          <w:rFonts w:hint="eastAsia" w:ascii="仿宋_GB2312" w:hAnsi="仿宋_GB2312" w:eastAsia="仿宋_GB2312" w:cs="仿宋_GB2312"/>
          <w:b/>
          <w:bCs/>
          <w:sz w:val="28"/>
          <w:szCs w:val="28"/>
        </w:rPr>
        <w:t>swyynam15mccwz@163.com</w:t>
      </w:r>
      <w:r>
        <w:rPr>
          <w:rStyle w:val="13"/>
          <w:rFonts w:hint="eastAsia" w:ascii="仿宋_GB2312" w:hAnsi="仿宋_GB2312" w:eastAsia="仿宋_GB2312" w:cs="仿宋_GB2312"/>
          <w:sz w:val="28"/>
          <w:szCs w:val="28"/>
        </w:rPr>
        <w:t>（邮箱号）将提出问题送达</w:t>
      </w:r>
      <w:r>
        <w:rPr>
          <w:rStyle w:val="13"/>
          <w:rFonts w:hint="eastAsia" w:ascii="仿宋_GB2312" w:hAnsi="仿宋_GB2312" w:eastAsia="仿宋_GB2312" w:cs="仿宋_GB2312"/>
          <w:sz w:val="28"/>
          <w:szCs w:val="28"/>
          <w:lang w:eastAsia="zh-CN"/>
        </w:rPr>
        <w:t>招标方</w:t>
      </w:r>
      <w:r>
        <w:rPr>
          <w:rStyle w:val="13"/>
          <w:rFonts w:hint="eastAsia" w:ascii="仿宋_GB2312" w:hAnsi="仿宋_GB2312" w:eastAsia="仿宋_GB2312" w:cs="仿宋_GB2312"/>
          <w:sz w:val="28"/>
          <w:szCs w:val="28"/>
        </w:rPr>
        <w:t>，要求</w:t>
      </w:r>
      <w:r>
        <w:rPr>
          <w:rStyle w:val="13"/>
          <w:rFonts w:hint="eastAsia" w:ascii="仿宋_GB2312" w:hAnsi="仿宋_GB2312" w:eastAsia="仿宋_GB2312" w:cs="仿宋_GB2312"/>
          <w:sz w:val="28"/>
          <w:szCs w:val="28"/>
          <w:lang w:val="en-US" w:eastAsia="zh-CN"/>
        </w:rPr>
        <w:t>招标</w:t>
      </w:r>
      <w:r>
        <w:rPr>
          <w:rStyle w:val="13"/>
          <w:rFonts w:hint="eastAsia" w:ascii="仿宋_GB2312" w:hAnsi="仿宋_GB2312" w:eastAsia="仿宋_GB2312" w:cs="仿宋_GB2312"/>
          <w:sz w:val="28"/>
          <w:szCs w:val="28"/>
        </w:rPr>
        <w:t>方对招标文件予以澄清。</w:t>
      </w:r>
      <w:r>
        <w:rPr>
          <w:rStyle w:val="13"/>
          <w:rFonts w:hint="eastAsia" w:ascii="仿宋_GB2312" w:hAnsi="仿宋_GB2312" w:eastAsia="仿宋_GB2312" w:cs="仿宋_GB2312"/>
          <w:sz w:val="28"/>
          <w:szCs w:val="28"/>
        </w:rPr>
        <w:fldChar w:fldCharType="end"/>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w:t>
      </w:r>
      <w:bookmarkStart w:id="11" w:name="_GoBack"/>
      <w:bookmarkEnd w:id="11"/>
      <w:r>
        <w:rPr>
          <w:rFonts w:hint="eastAsia" w:ascii="仿宋_GB2312" w:hAnsi="仿宋_GB2312" w:eastAsia="仿宋_GB2312" w:cs="仿宋_GB2312"/>
          <w:sz w:val="28"/>
          <w:szCs w:val="28"/>
        </w:rPr>
        <w:t>n harus dikirim ke peserta tender paling lambat pukul</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:00 pada tangga</w:t>
      </w:r>
      <w:r>
        <w:rPr>
          <w:rFonts w:hint="eastAsia" w:ascii="仿宋_GB2312" w:hAnsi="仿宋_GB2312" w:eastAsia="仿宋_GB2312" w:cs="仿宋_GB2312"/>
          <w:sz w:val="28"/>
          <w:szCs w:val="28"/>
          <w:u w:val="single"/>
          <w:lang w:val="en-US" w:eastAsia="zh-CN"/>
        </w:rPr>
        <w:t xml:space="preserve"> 09</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Oct</w:t>
      </w:r>
      <w:r>
        <w:rPr>
          <w:rFonts w:hint="eastAsia" w:ascii="仿宋_GB2312" w:hAnsi="仿宋_GB2312" w:eastAsia="仿宋_GB2312" w:cs="仿宋_GB2312"/>
          <w:sz w:val="28"/>
          <w:szCs w:val="28"/>
          <w:u w:val="single"/>
        </w:rPr>
        <w:t xml:space="preserve"> 2024</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FF0000"/>
          <w:sz w:val="28"/>
          <w:szCs w:val="28"/>
        </w:rPr>
        <w:t>2024年</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09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时。</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11:00 0</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Oct</w:t>
      </w:r>
      <w:r>
        <w:rPr>
          <w:rFonts w:hint="eastAsia" w:ascii="仿宋_GB2312" w:hAnsi="仿宋_GB2312" w:eastAsia="仿宋_GB2312" w:cs="仿宋_GB2312"/>
          <w:sz w:val="28"/>
          <w:szCs w:val="28"/>
        </w:rPr>
        <w:t xml:space="preserve"> 2023.</w:t>
      </w:r>
    </w:p>
    <w:p>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FF0000"/>
          <w:sz w:val="28"/>
          <w:szCs w:val="28"/>
        </w:rPr>
        <w:t>印尼盾。</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pPr>
        <w:pStyle w:val="2"/>
        <w:ind w:firstLine="0"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fldChar w:fldCharType="begin"/>
      </w:r>
      <w:r>
        <w:instrText xml:space="preserve"> HYPERLINK "mailto:swyynam15mccwz@163.com" </w:instrText>
      </w:r>
      <w:r>
        <w:fldChar w:fldCharType="separate"/>
      </w:r>
      <w:r>
        <w:rPr>
          <w:rStyle w:val="13"/>
          <w:rFonts w:hint="eastAsia" w:ascii="仿宋_GB2312" w:hAnsi="仿宋_GB2312" w:eastAsia="仿宋_GB2312" w:cs="仿宋_GB2312"/>
          <w:sz w:val="28"/>
          <w:szCs w:val="28"/>
        </w:rPr>
        <w:t>swyynam15mccwz@163.com</w:t>
      </w:r>
      <w:r>
        <w:rPr>
          <w:rStyle w:val="13"/>
          <w:rFonts w:hint="eastAsia" w:ascii="仿宋_GB2312" w:hAnsi="仿宋_GB2312" w:eastAsia="仿宋_GB2312" w:cs="仿宋_GB2312"/>
          <w:sz w:val="28"/>
          <w:szCs w:val="28"/>
        </w:rPr>
        <w:fldChar w:fldCharType="end"/>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通知后10天内设备到达到指定地点。</w:t>
      </w:r>
    </w:p>
    <w:p>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10 hari setelah menerima pemberitahuan dari pembeli.</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7..招标联系人：程帆                 联系电话:082147492461</w:t>
      </w:r>
    </w:p>
    <w:p>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Cheng Fan</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:082147492461</w:t>
      </w:r>
    </w:p>
    <w:p>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提供投标人的营业证执照</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可以对招标文件进行补充和修正。</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因项目地处境外，根据印尼当地采购交易习惯，免除投标的供应商缴纳投标保证金的费用</w:t>
      </w:r>
      <w:r>
        <w:rPr>
          <w:rFonts w:hint="eastAsia" w:ascii="仿宋_GB2312" w:hAnsi="仿宋_GB2312" w:eastAsia="仿宋_GB2312" w:cs="仿宋_GB2312"/>
          <w:sz w:val="28"/>
          <w:szCs w:val="28"/>
          <w:lang w:eastAsia="zh-CN"/>
        </w:rPr>
        <w:t>及标书费。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Karena lokasi proyek di luar negeri, sesuai dengan praktik pengadaan dan transaksi lokal di Indonesia, penawaran pemasok dibebaskan dari pembayaran biaya deposit penawaran.</w:t>
      </w:r>
    </w:p>
    <w:p>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指定邮箱。</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pPr>
        <w:numPr>
          <w:ilvl w:val="0"/>
          <w:numId w:val="6"/>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全公司范围内及印尼中国企业中进行公示。</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pPr>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sz w:val="28"/>
          <w:szCs w:val="28"/>
        </w:rPr>
        <w:t>交货地点：</w:t>
      </w:r>
      <w:r>
        <w:rPr>
          <w:rFonts w:ascii="仿宋_GB2312" w:hAnsi="仿宋_GB2312" w:eastAsia="仿宋_GB2312" w:cs="仿宋_GB2312"/>
          <w:b/>
          <w:bCs/>
          <w:sz w:val="28"/>
          <w:szCs w:val="28"/>
        </w:rPr>
        <w:t>印度尼西亚松巴哇岛本尼特南部（South Benete）印尼AMIN</w:t>
      </w:r>
      <w:r>
        <w:rPr>
          <w:rFonts w:ascii="仿宋_GB2312" w:hAnsi="仿宋_GB2312" w:eastAsia="仿宋_GB2312" w:cs="仿宋_GB2312"/>
          <w:b/>
          <w:bCs/>
          <w:color w:val="auto"/>
          <w:sz w:val="28"/>
          <w:szCs w:val="28"/>
        </w:rPr>
        <w:t>铜</w:t>
      </w:r>
      <w:r>
        <w:rPr>
          <w:rFonts w:hint="eastAsia" w:ascii="仿宋_GB2312" w:hAnsi="仿宋_GB2312" w:eastAsia="仿宋_GB2312" w:cs="仿宋_GB2312"/>
          <w:b/>
          <w:bCs/>
          <w:color w:val="auto"/>
          <w:sz w:val="28"/>
          <w:szCs w:val="28"/>
        </w:rPr>
        <w:t>选</w:t>
      </w:r>
      <w:r>
        <w:rPr>
          <w:rFonts w:ascii="仿宋_GB2312" w:hAnsi="仿宋_GB2312" w:eastAsia="仿宋_GB2312" w:cs="仿宋_GB2312"/>
          <w:b/>
          <w:bCs/>
          <w:color w:val="auto"/>
          <w:sz w:val="28"/>
          <w:szCs w:val="28"/>
        </w:rPr>
        <w:t>矿</w:t>
      </w:r>
      <w:r>
        <w:rPr>
          <w:rFonts w:hint="eastAsia" w:ascii="仿宋_GB2312" w:hAnsi="仿宋_GB2312" w:eastAsia="仿宋_GB2312" w:cs="仿宋_GB2312"/>
          <w:b/>
          <w:bCs/>
          <w:color w:val="auto"/>
          <w:sz w:val="28"/>
          <w:szCs w:val="28"/>
        </w:rPr>
        <w:t>厂</w:t>
      </w:r>
      <w:r>
        <w:rPr>
          <w:rFonts w:ascii="仿宋_GB2312" w:hAnsi="仿宋_GB2312" w:eastAsia="仿宋_GB2312" w:cs="仿宋_GB2312"/>
          <w:b/>
          <w:bCs/>
          <w:color w:val="auto"/>
          <w:sz w:val="28"/>
          <w:szCs w:val="28"/>
        </w:rPr>
        <w:t>现场</w:t>
      </w:r>
      <w:r>
        <w:rPr>
          <w:rFonts w:hint="eastAsia" w:ascii="仿宋_GB2312" w:hAnsi="仿宋_GB2312" w:eastAsia="仿宋_GB2312" w:cs="仿宋_GB2312"/>
          <w:b/>
          <w:bCs/>
          <w:color w:val="auto"/>
          <w:sz w:val="28"/>
          <w:szCs w:val="28"/>
        </w:rPr>
        <w:t>。</w:t>
      </w:r>
    </w:p>
    <w:p>
      <w:pPr>
        <w:pStyle w:val="16"/>
        <w:numPr>
          <w:ilvl w:val="0"/>
          <w:numId w:val="0"/>
        </w:numPr>
        <w:tabs>
          <w:tab w:val="clear" w:pos="1814"/>
        </w:tabs>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sz w:val="28"/>
          <w:szCs w:val="28"/>
        </w:rPr>
        <w:t xml:space="preserve">ke lokasi tambang tembaga AMIN </w:t>
      </w:r>
      <w:r>
        <w:rPr>
          <w:rFonts w:hint="eastAsia" w:ascii="仿宋_GB2312" w:hAnsi="仿宋_GB2312" w:eastAsia="仿宋_GB2312" w:cs="仿宋_GB2312"/>
          <w:b/>
          <w:bCs/>
          <w:sz w:val="28"/>
          <w:szCs w:val="28"/>
          <w:lang w:val="en-US" w:eastAsia="zh-CN"/>
        </w:rPr>
        <w:t xml:space="preserve">TXKC Proyek </w:t>
      </w:r>
      <w:r>
        <w:rPr>
          <w:rFonts w:hint="eastAsia" w:ascii="仿宋_GB2312" w:hAnsi="仿宋_GB2312" w:eastAsia="仿宋_GB2312" w:cs="仿宋_GB2312"/>
          <w:b/>
          <w:bCs/>
          <w:sz w:val="28"/>
          <w:szCs w:val="28"/>
        </w:rPr>
        <w:t>Indonesia di selatan Benete, Sumbawa, Indonesia.</w:t>
      </w:r>
    </w:p>
    <w:p>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指定邮箱监督人进行开箱将各投标单位投标文件传递至评标人员进行网络开标，投标单位投标文件未按时送至</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指定邮箱，否则视为自动弃权。</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4"/>
        <w:tblW w:w="9868" w:type="dxa"/>
        <w:tblInd w:w="-79" w:type="dxa"/>
        <w:tblLayout w:type="fixed"/>
        <w:tblCellMar>
          <w:top w:w="0" w:type="dxa"/>
          <w:left w:w="108" w:type="dxa"/>
          <w:bottom w:w="0" w:type="dxa"/>
          <w:right w:w="108" w:type="dxa"/>
        </w:tblCellMar>
      </w:tblPr>
      <w:tblGrid>
        <w:gridCol w:w="760"/>
        <w:gridCol w:w="1528"/>
        <w:gridCol w:w="6088"/>
        <w:gridCol w:w="1492"/>
      </w:tblGrid>
      <w:tr>
        <w:tblPrEx>
          <w:tblLayout w:type="fixed"/>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b/>
                <w:bCs/>
              </w:rPr>
            </w:pPr>
            <w:r>
              <w:rPr>
                <w:rFonts w:hint="eastAsia"/>
                <w:b/>
                <w:bCs/>
                <w:szCs w:val="22"/>
              </w:rPr>
              <w:t>序号NO</w:t>
            </w:r>
          </w:p>
        </w:tc>
        <w:tc>
          <w:tcPr>
            <w:tcW w:w="1528" w:type="dxa"/>
            <w:tcBorders>
              <w:top w:val="single" w:color="auto" w:sz="4" w:space="0"/>
              <w:left w:val="nil"/>
              <w:bottom w:val="single" w:color="auto" w:sz="4" w:space="0"/>
              <w:right w:val="single" w:color="auto" w:sz="4" w:space="0"/>
            </w:tcBorders>
            <w:vAlign w:val="center"/>
          </w:tcPr>
          <w:p>
            <w:pPr>
              <w:widowControl/>
              <w:spacing w:line="300" w:lineRule="auto"/>
              <w:jc w:val="center"/>
              <w:rPr>
                <w:b/>
                <w:bCs/>
                <w:szCs w:val="22"/>
              </w:rPr>
            </w:pPr>
            <w:r>
              <w:rPr>
                <w:rFonts w:hint="eastAsia"/>
                <w:b/>
                <w:bCs/>
                <w:szCs w:val="22"/>
              </w:rPr>
              <w:t>指标</w:t>
            </w:r>
          </w:p>
          <w:p>
            <w:pPr>
              <w:widowControl/>
              <w:spacing w:line="300" w:lineRule="auto"/>
              <w:jc w:val="center"/>
              <w:rPr>
                <w:b/>
                <w:bCs/>
                <w:szCs w:val="22"/>
              </w:rPr>
            </w:pPr>
            <w:r>
              <w:rPr>
                <w:rFonts w:hint="eastAsia"/>
                <w:b/>
                <w:bCs/>
                <w:szCs w:val="22"/>
              </w:rPr>
              <w:t>Indeks</w:t>
            </w:r>
          </w:p>
        </w:tc>
        <w:tc>
          <w:tcPr>
            <w:tcW w:w="6088" w:type="dxa"/>
            <w:tcBorders>
              <w:top w:val="single" w:color="auto" w:sz="4" w:space="0"/>
              <w:left w:val="nil"/>
              <w:bottom w:val="single" w:color="auto" w:sz="4" w:space="0"/>
              <w:right w:val="single" w:color="auto" w:sz="4" w:space="0"/>
            </w:tcBorders>
            <w:vAlign w:val="center"/>
          </w:tcPr>
          <w:p>
            <w:pPr>
              <w:widowControl/>
              <w:spacing w:line="300" w:lineRule="auto"/>
              <w:jc w:val="center"/>
              <w:rPr>
                <w:b/>
                <w:bCs/>
                <w:szCs w:val="22"/>
              </w:rPr>
            </w:pPr>
            <w:r>
              <w:rPr>
                <w:rFonts w:hint="eastAsia"/>
                <w:b/>
                <w:bCs/>
                <w:szCs w:val="22"/>
              </w:rPr>
              <w:t>评分内容及标准</w:t>
            </w:r>
          </w:p>
          <w:p>
            <w:pPr>
              <w:widowControl/>
              <w:spacing w:line="300" w:lineRule="auto"/>
              <w:jc w:val="center"/>
              <w:rPr>
                <w:b/>
                <w:bCs/>
                <w:szCs w:val="22"/>
              </w:rPr>
            </w:pPr>
            <w:r>
              <w:rPr>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pPr>
              <w:widowControl/>
              <w:spacing w:line="300" w:lineRule="auto"/>
              <w:jc w:val="center"/>
              <w:rPr>
                <w:b/>
                <w:bCs/>
                <w:szCs w:val="22"/>
              </w:rPr>
            </w:pPr>
            <w:r>
              <w:rPr>
                <w:rFonts w:hint="eastAsia"/>
                <w:b/>
                <w:bCs/>
                <w:szCs w:val="22"/>
              </w:rPr>
              <w:t>参考分值</w:t>
            </w:r>
          </w:p>
          <w:p>
            <w:pPr>
              <w:widowControl/>
              <w:spacing w:line="300" w:lineRule="auto"/>
              <w:jc w:val="center"/>
              <w:rPr>
                <w:b/>
                <w:bCs/>
                <w:szCs w:val="22"/>
              </w:rPr>
            </w:pPr>
            <w:r>
              <w:rPr>
                <w:b/>
                <w:bCs/>
                <w:szCs w:val="22"/>
              </w:rPr>
              <w:t>Skor referensi</w:t>
            </w:r>
          </w:p>
        </w:tc>
      </w:tr>
      <w:tr>
        <w:tblPrEx>
          <w:tblLayout w:type="fixed"/>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资格性指标</w:t>
            </w:r>
          </w:p>
          <w:p>
            <w:pPr>
              <w:pStyle w:val="2"/>
              <w:ind w:firstLine="0" w:firstLineChars="0"/>
            </w:pPr>
            <w:r>
              <w:rPr>
                <w:rFonts w:hint="eastAsia"/>
              </w:rPr>
              <w:t>Dasar Kelayakan</w:t>
            </w:r>
          </w:p>
        </w:tc>
        <w:tc>
          <w:tcPr>
            <w:tcW w:w="60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pPr>
            <w:r>
              <w:rPr>
                <w:rFonts w:hint="eastAsia"/>
              </w:rPr>
              <w:t>印尼当地有效的营业执照。</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pPr>
              <w:spacing w:line="360" w:lineRule="auto"/>
              <w:jc w:val="left"/>
            </w:pPr>
            <w:r>
              <w:rPr>
                <w:rFonts w:hint="eastAsia"/>
              </w:rPr>
              <w:t>一项否决</w:t>
            </w:r>
          </w:p>
          <w:p>
            <w:pPr>
              <w:pStyle w:val="2"/>
              <w:ind w:firstLine="0" w:firstLineChars="0"/>
            </w:pPr>
            <w:r>
              <w:rPr>
                <w:rFonts w:hint="eastAsia"/>
              </w:rPr>
              <w:t>Hak veto</w:t>
            </w:r>
          </w:p>
        </w:tc>
      </w:tr>
      <w:tr>
        <w:tblPrEx>
          <w:tblLayout w:type="fixed"/>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pPr>
            <w:r>
              <w:rPr>
                <w:rFonts w:hint="eastAsia"/>
              </w:rPr>
              <w:t>是否提供法定代表人及负责人授权委托书证明，内容完整有效。</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9"/>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一项否决</w:t>
            </w:r>
          </w:p>
          <w:p>
            <w:pPr>
              <w:spacing w:line="360" w:lineRule="auto"/>
              <w:jc w:val="left"/>
              <w:rPr>
                <w:rFonts w:hint="eastAsia" w:ascii="仿宋_GB2312" w:hAnsi="仿宋_GB2312" w:eastAsia="仿宋_GB2312" w:cs="仿宋_GB2312"/>
                <w:kern w:val="0"/>
                <w:sz w:val="20"/>
                <w:szCs w:val="20"/>
              </w:rPr>
            </w:pPr>
            <w:r>
              <w:rPr>
                <w:rFonts w:hint="eastAsia"/>
              </w:rPr>
              <w:t>Hak veto</w:t>
            </w:r>
          </w:p>
        </w:tc>
      </w:tr>
      <w:tr>
        <w:tblPrEx>
          <w:tblLayout w:type="fixed"/>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pPr>
              <w:spacing w:line="360" w:lineRule="auto"/>
              <w:jc w:val="left"/>
            </w:pPr>
            <w:r>
              <w:rPr>
                <w:rFonts w:hint="eastAsia"/>
              </w:rPr>
              <w:t>符合性指标</w:t>
            </w:r>
          </w:p>
          <w:p>
            <w:pPr>
              <w:pStyle w:val="2"/>
              <w:ind w:firstLine="0" w:firstLineChars="0"/>
            </w:pPr>
            <w:r>
              <w:rPr>
                <w:rFonts w:hint="eastAsi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pPr>
            <w:r>
              <w:rPr>
                <w:rFonts w:hint="eastAsia"/>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一项否决</w:t>
            </w:r>
          </w:p>
          <w:p>
            <w:pPr>
              <w:spacing w:line="360" w:lineRule="auto"/>
              <w:jc w:val="left"/>
              <w:rPr>
                <w:rFonts w:hint="eastAsia" w:ascii="仿宋_GB2312" w:hAnsi="仿宋_GB2312" w:eastAsia="仿宋_GB2312" w:cs="仿宋_GB2312"/>
                <w:kern w:val="0"/>
                <w:sz w:val="20"/>
                <w:szCs w:val="20"/>
              </w:rPr>
            </w:pPr>
            <w:r>
              <w:rPr>
                <w:rFonts w:hint="eastAsia"/>
              </w:rPr>
              <w:t>Hak veto</w:t>
            </w:r>
          </w:p>
        </w:tc>
      </w:tr>
      <w:tr>
        <w:tblPrEx>
          <w:tblLayout w:type="fixed"/>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pPr>
              <w:pStyle w:val="2"/>
              <w:ind w:firstLine="0" w:firstLineChars="0"/>
              <w:rPr>
                <w:rFonts w:hint="eastAsia"/>
              </w:rPr>
            </w:pPr>
          </w:p>
        </w:tc>
        <w:tc>
          <w:tcPr>
            <w:tcW w:w="6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rPr>
            </w:pPr>
            <w:r>
              <w:rPr>
                <w:rFonts w:hint="eastAsia"/>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一项否决</w:t>
            </w:r>
          </w:p>
          <w:p>
            <w:pPr>
              <w:spacing w:line="360" w:lineRule="auto"/>
              <w:jc w:val="left"/>
              <w:rPr>
                <w:rFonts w:hint="eastAsia"/>
              </w:rPr>
            </w:pPr>
            <w:r>
              <w:rPr>
                <w:rFonts w:hint="eastAsia"/>
              </w:rPr>
              <w:t>Hak veto</w:t>
            </w:r>
          </w:p>
        </w:tc>
      </w:tr>
      <w:tr>
        <w:tblPrEx>
          <w:tblLayout w:type="fixed"/>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pPr>
              <w:pStyle w:val="2"/>
              <w:ind w:firstLine="0" w:firstLineChars="0"/>
              <w:rPr>
                <w:rFonts w:hint="eastAsia"/>
              </w:rPr>
            </w:pPr>
          </w:p>
        </w:tc>
        <w:tc>
          <w:tcPr>
            <w:tcW w:w="6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rPr>
            </w:pPr>
            <w:r>
              <w:rPr>
                <w:rFonts w:hint="eastAsia"/>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一项否决</w:t>
            </w:r>
          </w:p>
          <w:p>
            <w:pPr>
              <w:spacing w:line="360" w:lineRule="auto"/>
              <w:jc w:val="left"/>
              <w:rPr>
                <w:rFonts w:hint="eastAsia"/>
              </w:rPr>
            </w:pPr>
            <w:r>
              <w:rPr>
                <w:rFonts w:hint="eastAsia"/>
              </w:rPr>
              <w:t>Hak veto</w:t>
            </w:r>
          </w:p>
        </w:tc>
      </w:tr>
      <w:tr>
        <w:tblPrEx>
          <w:tblLayout w:type="fixed"/>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pPr>
              <w:pStyle w:val="2"/>
              <w:ind w:firstLine="0" w:firstLineChars="0"/>
              <w:rPr>
                <w:rFonts w:hint="eastAsia"/>
              </w:rPr>
            </w:pPr>
          </w:p>
        </w:tc>
        <w:tc>
          <w:tcPr>
            <w:tcW w:w="6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rPr>
            </w:pPr>
            <w:r>
              <w:rPr>
                <w:rFonts w:hint="eastAsia"/>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一项否决</w:t>
            </w:r>
          </w:p>
          <w:p>
            <w:pPr>
              <w:spacing w:line="360" w:lineRule="auto"/>
              <w:jc w:val="left"/>
              <w:rPr>
                <w:rFonts w:hint="eastAsia"/>
              </w:rPr>
            </w:pPr>
            <w:r>
              <w:rPr>
                <w:rFonts w:hint="eastAsia"/>
              </w:rPr>
              <w:t>Hak veto</w:t>
            </w:r>
          </w:p>
        </w:tc>
      </w:tr>
    </w:tbl>
    <w:p>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在定标后的三天内以书面形式通知中标单位。</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投标文件模板</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rPr>
          <w:rFonts w:hint="eastAsia" w:ascii="仿宋_GB2312" w:hAnsi="仿宋_GB2312" w:eastAsia="仿宋_GB2312" w:cs="仿宋_GB2312"/>
          <w:sz w:val="28"/>
          <w:szCs w:val="28"/>
        </w:rPr>
      </w:pPr>
    </w:p>
    <w:p>
      <w:pPr>
        <w:spacing w:line="360" w:lineRule="auto"/>
        <w:jc w:val="center"/>
        <w:rPr>
          <w:rFonts w:hint="eastAsia" w:ascii="仿宋_GB2312" w:hAnsi="仿宋_GB2312" w:eastAsia="仿宋_GB2312" w:cs="仿宋_GB2312"/>
          <w:sz w:val="28"/>
          <w:szCs w:val="28"/>
        </w:rPr>
      </w:pPr>
    </w:p>
    <w:p>
      <w:pPr>
        <w:spacing w:line="360" w:lineRule="auto"/>
        <w:rPr>
          <w:rFonts w:hint="eastAsia" w:ascii="方正小标宋简体" w:hAnsi="方正小标宋简体" w:eastAsia="方正小标宋简体" w:cs="方正小标宋简体"/>
          <w:b/>
          <w:bCs/>
          <w:sz w:val="36"/>
          <w:szCs w:val="36"/>
        </w:rPr>
      </w:pPr>
    </w:p>
    <w:p>
      <w:pPr>
        <w:spacing w:line="360" w:lineRule="auto"/>
        <w:ind w:firstLine="2161" w:firstLineChars="600"/>
        <w:rPr>
          <w:rFonts w:hint="eastAsia" w:ascii="方正小标宋简体" w:hAnsi="方正小标宋简体" w:eastAsia="方正小标宋简体" w:cs="方正小标宋简体"/>
          <w:b/>
          <w:bCs/>
          <w:sz w:val="36"/>
          <w:szCs w:val="36"/>
        </w:rPr>
      </w:pPr>
    </w:p>
    <w:p>
      <w:pPr>
        <w:spacing w:line="360" w:lineRule="auto"/>
        <w:ind w:firstLine="2161" w:firstLineChars="60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pPr>
        <w:pStyle w:val="2"/>
      </w:pPr>
    </w:p>
    <w:p>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阿曼</w:t>
      </w:r>
      <w:r>
        <w:rPr>
          <w:rFonts w:hint="eastAsia" w:ascii="方正小标宋简体" w:hAnsi="方正小标宋简体" w:eastAsia="方正小标宋简体" w:cs="方正小标宋简体"/>
          <w:b/>
          <w:bCs/>
          <w:sz w:val="36"/>
          <w:szCs w:val="36"/>
          <w:lang w:val="en-US" w:eastAsia="zh-CN"/>
        </w:rPr>
        <w:t>铜选矿厂</w:t>
      </w:r>
      <w:r>
        <w:rPr>
          <w:rFonts w:hint="eastAsia" w:ascii="方正小标宋简体" w:hAnsi="方正小标宋简体" w:eastAsia="方正小标宋简体" w:cs="方正小标宋简体"/>
          <w:b/>
          <w:bCs/>
          <w:sz w:val="36"/>
          <w:szCs w:val="36"/>
        </w:rPr>
        <w:t>项目部</w:t>
      </w:r>
      <w:r>
        <w:rPr>
          <w:rFonts w:hint="eastAsia" w:ascii="方正小标宋简体" w:hAnsi="方正小标宋简体" w:eastAsia="方正小标宋简体" w:cs="方正小标宋简体"/>
          <w:b/>
          <w:bCs/>
          <w:color w:val="FF0000"/>
          <w:sz w:val="36"/>
          <w:szCs w:val="36"/>
          <w:u w:val="single"/>
        </w:rPr>
        <w:t>越野轮式汽车吊租赁服务</w:t>
      </w:r>
      <w:r>
        <w:rPr>
          <w:rFonts w:hint="eastAsia" w:ascii="方正小标宋简体" w:hAnsi="方正小标宋简体" w:eastAsia="方正小标宋简体" w:cs="方正小标宋简体"/>
          <w:b/>
          <w:bCs/>
          <w:sz w:val="36"/>
          <w:szCs w:val="36"/>
        </w:rPr>
        <w:t>投标文件</w:t>
      </w:r>
    </w:p>
    <w:p>
      <w:pPr>
        <w:pStyle w:val="2"/>
        <w:ind w:firstLine="1051" w:firstLineChars="50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 xml:space="preserve">AMIN </w:t>
      </w:r>
      <w:r>
        <w:rPr>
          <w:rFonts w:hint="eastAsia" w:ascii="方正小标宋简体" w:hAnsi="方正小标宋简体" w:eastAsia="方正小标宋简体" w:cs="方正小标宋简体"/>
          <w:b/>
          <w:bCs/>
          <w:sz w:val="21"/>
          <w:szCs w:val="21"/>
          <w:lang w:val="en-US" w:eastAsia="zh-CN"/>
        </w:rPr>
        <w:t xml:space="preserve">TXKC </w:t>
      </w:r>
      <w:r>
        <w:rPr>
          <w:rFonts w:hint="eastAsia" w:ascii="方正小标宋简体" w:hAnsi="方正小标宋简体" w:eastAsia="方正小标宋简体" w:cs="方正小标宋简体"/>
          <w:b/>
          <w:bCs/>
          <w:sz w:val="21"/>
          <w:szCs w:val="21"/>
        </w:rPr>
        <w:t>Project Departemen Pengadaan Dokumen Pelayanan</w:t>
      </w:r>
      <w:r>
        <w:rPr>
          <w:rFonts w:hint="eastAsia" w:ascii="方正小标宋简体" w:hAnsi="方正小标宋简体" w:eastAsia="方正小标宋简体" w:cs="方正小标宋简体"/>
          <w:b/>
          <w:bCs/>
          <w:sz w:val="21"/>
          <w:szCs w:val="21"/>
          <w:lang w:val="en-US" w:eastAsia="zh-CN"/>
        </w:rPr>
        <w:t xml:space="preserve"> </w:t>
      </w:r>
      <w:r>
        <w:rPr>
          <w:rFonts w:hint="eastAsia" w:ascii="方正小标宋简体" w:hAnsi="方正小标宋简体" w:eastAsia="方正小标宋简体" w:cs="方正小标宋简体"/>
          <w:b/>
          <w:bCs/>
          <w:color w:val="FF0000"/>
          <w:sz w:val="21"/>
          <w:szCs w:val="21"/>
        </w:rPr>
        <w:t xml:space="preserve">Off-road tire crane </w:t>
      </w:r>
      <w:r>
        <w:rPr>
          <w:rFonts w:hint="eastAsia" w:ascii="方正小标宋简体" w:hAnsi="方正小标宋简体" w:eastAsia="方正小标宋简体" w:cs="方正小标宋简体"/>
          <w:b/>
          <w:bCs/>
          <w:sz w:val="21"/>
          <w:szCs w:val="21"/>
        </w:rPr>
        <w:t>Material Dokumen</w:t>
      </w:r>
    </w:p>
    <w:p>
      <w:pPr>
        <w:spacing w:line="360" w:lineRule="auto"/>
        <w:jc w:val="center"/>
        <w:rPr>
          <w:rFonts w:hint="eastAsia" w:ascii="方正小标宋简体" w:hAnsi="方正小标宋简体" w:eastAsia="方正小标宋简体" w:cs="方正小标宋简体"/>
          <w:b/>
          <w:bCs/>
          <w:sz w:val="36"/>
          <w:szCs w:val="36"/>
        </w:rPr>
      </w:pPr>
    </w:p>
    <w:p>
      <w:pPr>
        <w:pStyle w:val="2"/>
        <w:ind w:firstLine="5060" w:firstLineChars="1400"/>
        <w:rPr>
          <w:rFonts w:hint="eastAsia" w:ascii="宋体" w:hAnsi="宋体" w:cs="宋体"/>
          <w:b/>
          <w:bCs/>
          <w:sz w:val="36"/>
          <w:szCs w:val="36"/>
          <w:u w:val="single"/>
        </w:rPr>
      </w:pPr>
    </w:p>
    <w:p>
      <w:pPr>
        <w:pStyle w:val="3"/>
        <w:rPr>
          <w:rFonts w:hint="eastAsia" w:ascii="宋体" w:hAnsi="宋体" w:cs="宋体"/>
          <w:b/>
          <w:bCs/>
          <w:sz w:val="36"/>
          <w:szCs w:val="36"/>
        </w:rPr>
      </w:pPr>
    </w:p>
    <w:p>
      <w:pPr>
        <w:jc w:val="center"/>
        <w:rPr>
          <w:rFonts w:hint="eastAsia" w:ascii="宋体" w:hAnsi="宋体"/>
          <w:b/>
          <w:bCs/>
          <w:sz w:val="36"/>
          <w:szCs w:val="36"/>
        </w:rPr>
      </w:pPr>
    </w:p>
    <w:p>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penawaran：SGS-YNAMTXKCXM-2024-W002-FW</w:t>
      </w:r>
    </w:p>
    <w:p>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pPr>
        <w:pStyle w:val="3"/>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spacing w:line="120" w:lineRule="auto"/>
        <w:jc w:val="left"/>
        <w:rPr>
          <w:rFonts w:hint="eastAsia" w:ascii="仿宋_GB2312" w:hAnsi="仿宋_GB2312" w:eastAsia="仿宋_GB2312" w:cs="仿宋_GB2312"/>
          <w:b/>
          <w:bCs/>
          <w:sz w:val="28"/>
          <w:szCs w:val="28"/>
        </w:rPr>
      </w:pPr>
      <w:bookmarkStart w:id="2" w:name="_Toc39938034"/>
      <w:bookmarkStart w:id="3" w:name="_Toc42237257"/>
      <w:bookmarkStart w:id="4" w:name="_Toc2521"/>
      <w:bookmarkStart w:id="5" w:name="_Toc40207132"/>
      <w:r>
        <w:rPr>
          <w:rFonts w:hint="eastAsia" w:ascii="仿宋_GB2312" w:hAnsi="仿宋_GB2312" w:eastAsia="仿宋_GB2312" w:cs="仿宋_GB2312"/>
          <w:sz w:val="28"/>
          <w:szCs w:val="28"/>
        </w:rPr>
        <w:t xml:space="preserve">附件 Lampiran 1               </w:t>
      </w:r>
      <w:r>
        <w:rPr>
          <w:rFonts w:hint="eastAsia" w:ascii="仿宋_GB2312" w:hAnsi="仿宋_GB2312" w:eastAsia="仿宋_GB2312" w:cs="仿宋_GB2312"/>
          <w:b/>
          <w:bCs/>
          <w:sz w:val="28"/>
          <w:szCs w:val="28"/>
        </w:rPr>
        <w:t xml:space="preserve">         </w:t>
      </w:r>
    </w:p>
    <w:p>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2"/>
      <w:bookmarkEnd w:id="3"/>
      <w:bookmarkEnd w:id="4"/>
      <w:bookmarkEnd w:id="5"/>
    </w:p>
    <w:p>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w:t>
      </w:r>
      <w:r>
        <w:rPr>
          <w:rFonts w:hint="eastAsia" w:ascii="仿宋_GB2312" w:hAnsi="仿宋_GB2312" w:eastAsia="仿宋_GB2312" w:cs="仿宋_GB2312"/>
          <w:sz w:val="28"/>
          <w:szCs w:val="28"/>
          <w:lang w:eastAsia="zh-CN"/>
        </w:rPr>
        <w:t>招标方</w:t>
      </w:r>
      <w:r>
        <w:rPr>
          <w:rFonts w:hint="eastAsia" w:ascii="仿宋_GB2312" w:hAnsi="仿宋_GB2312" w:eastAsia="仿宋_GB2312" w:cs="仿宋_GB2312"/>
          <w:sz w:val="28"/>
          <w:szCs w:val="28"/>
        </w:rPr>
        <w:t>名称）：</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u w:val="single"/>
        </w:rPr>
        <w:t>越野轮式汽车吊租赁服务</w:t>
      </w:r>
      <w:r>
        <w:rPr>
          <w:rFonts w:hint="eastAsia" w:ascii="仿宋_GB2312" w:hAnsi="仿宋_GB2312" w:eastAsia="仿宋_GB2312" w:cs="仿宋_GB2312"/>
          <w:sz w:val="28"/>
          <w:szCs w:val="28"/>
        </w:rPr>
        <w:t>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color w:val="FF0000"/>
          <w:sz w:val="28"/>
          <w:szCs w:val="28"/>
          <w:u w:val="single"/>
        </w:rPr>
        <w:t>Rp：       的总报价</w:t>
      </w:r>
      <w:r>
        <w:rPr>
          <w:rFonts w:hint="eastAsia" w:ascii="仿宋_GB2312" w:hAnsi="仿宋_GB2312" w:eastAsia="仿宋_GB2312" w:cs="仿宋_GB2312"/>
          <w:sz w:val="28"/>
          <w:szCs w:val="28"/>
          <w:u w:val="single"/>
        </w:rPr>
        <w:t>（印尼盾增值税税率为11%）</w:t>
      </w:r>
      <w:r>
        <w:rPr>
          <w:rFonts w:hint="eastAsia" w:ascii="仿宋_GB2312" w:hAnsi="仿宋_GB2312" w:eastAsia="仿宋_GB2312" w:cs="仿宋_GB2312"/>
          <w:sz w:val="28"/>
          <w:szCs w:val="28"/>
        </w:rPr>
        <w:t>，并按合同约定履行义务。</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Kami telah mempelajari dengan cermat seluruh isi dokumen penawaran jasa  sewa </w:t>
      </w:r>
      <w:r>
        <w:rPr>
          <w:rFonts w:hint="eastAsia" w:ascii="仿宋_GB2312" w:hAnsi="仿宋_GB2312" w:eastAsia="仿宋_GB2312" w:cs="仿宋_GB2312"/>
          <w:sz w:val="28"/>
          <w:szCs w:val="28"/>
          <w:u w:val="single"/>
        </w:rPr>
        <w:t>truk derek roda off-road</w:t>
      </w:r>
      <w:r>
        <w:rPr>
          <w:rFonts w:hint="eastAsia" w:ascii="仿宋_GB2312" w:hAnsi="仿宋_GB2312" w:eastAsia="仿宋_GB2312" w:cs="仿宋_GB2312"/>
          <w:sz w:val="28"/>
          <w:szCs w:val="28"/>
        </w:rPr>
        <w:t xml:space="preserve"> proyek AMIN TXKC Indonesia, dan bersedia membuat penawaran total sebesar Rp:</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(tarif PPN IDR adalah 11%), dan melaksanakan kewajiban kami sebagaimana disepakati dalam kontrak.</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pPr>
        <w:numPr>
          <w:ilvl w:val="0"/>
          <w:numId w:val="11"/>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pPr>
        <w:spacing w:line="360" w:lineRule="auto"/>
        <w:rPr>
          <w:rFonts w:hint="eastAsia" w:ascii="仿宋_GB2312" w:hAnsi="仿宋_GB2312" w:eastAsia="仿宋_GB2312" w:cs="仿宋_GB2312"/>
          <w:sz w:val="28"/>
          <w:szCs w:val="28"/>
        </w:rPr>
      </w:pPr>
    </w:p>
    <w:p>
      <w:pPr>
        <w:pStyle w:val="2"/>
        <w:ind w:firstLine="560"/>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p>
    <w:p>
      <w:pPr>
        <w:pStyle w:val="2"/>
        <w:rPr>
          <w:rFonts w:hint="eastAsia"/>
        </w:rPr>
      </w:pPr>
    </w:p>
    <w:p>
      <w:pPr>
        <w:pStyle w:val="16"/>
        <w:numPr>
          <w:ilvl w:val="0"/>
          <w:numId w:val="0"/>
        </w:numPr>
        <w:tabs>
          <w:tab w:val="clear" w:pos="1814"/>
        </w:tabs>
      </w:pPr>
    </w:p>
    <w:p>
      <w:pPr>
        <w:pStyle w:val="18"/>
        <w:ind w:firstLine="0" w:firstLineChars="0"/>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pPr>
        <w:pStyle w:val="4"/>
        <w:numPr>
          <w:ilvl w:val="0"/>
          <w:numId w:val="5"/>
        </w:numPr>
        <w:ind w:firstLine="0" w:firstLineChars="0"/>
      </w:pPr>
      <w:bookmarkStart w:id="6" w:name="_Toc65848132"/>
      <w:r>
        <w:t>法定代表人（单位负责人）身份证明</w:t>
      </w:r>
      <w:bookmarkEnd w:id="6"/>
    </w:p>
    <w:p>
      <w:r>
        <w:rPr>
          <w:rFonts w:hint="eastAsia" w:ascii="仿宋_GB2312" w:hAnsi="仿宋_GB2312" w:eastAsia="仿宋_GB2312" w:cs="仿宋_GB2312"/>
          <w:sz w:val="28"/>
          <w:szCs w:val="28"/>
        </w:rPr>
        <w:t>Bukti identitas perwakilan hukum (penanggung jawab perusahaan).</w:t>
      </w:r>
    </w:p>
    <w:p>
      <w:pPr>
        <w:tabs>
          <w:tab w:val="left" w:pos="1068"/>
        </w:tabs>
        <w:spacing w:line="360" w:lineRule="auto"/>
        <w:rPr>
          <w:szCs w:val="21"/>
        </w:rPr>
      </w:pPr>
    </w:p>
    <w:p>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pPr>
        <w:tabs>
          <w:tab w:val="left" w:pos="1068"/>
        </w:tabs>
        <w:spacing w:line="360" w:lineRule="auto"/>
        <w:rPr>
          <w:rFonts w:hint="eastAsia" w:ascii="仿宋" w:hAnsi="仿宋" w:eastAsia="仿宋" w:cs="仿宋"/>
          <w:sz w:val="28"/>
          <w:szCs w:val="28"/>
        </w:rPr>
      </w:pPr>
    </w:p>
    <w:p>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pPr>
        <w:tabs>
          <w:tab w:val="left" w:pos="1068"/>
        </w:tabs>
        <w:spacing w:line="360" w:lineRule="auto"/>
        <w:rPr>
          <w:rFonts w:hint="eastAsia" w:ascii="仿宋" w:hAnsi="仿宋" w:eastAsia="仿宋" w:cs="仿宋"/>
          <w:sz w:val="28"/>
          <w:szCs w:val="28"/>
        </w:rPr>
      </w:pPr>
    </w:p>
    <w:p>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pPr>
        <w:tabs>
          <w:tab w:val="left" w:pos="1068"/>
        </w:tabs>
        <w:spacing w:line="360" w:lineRule="auto"/>
        <w:rPr>
          <w:rFonts w:hint="eastAsia" w:ascii="仿宋" w:hAnsi="仿宋" w:eastAsia="仿宋" w:cs="仿宋"/>
          <w:sz w:val="28"/>
          <w:szCs w:val="28"/>
        </w:rPr>
      </w:pPr>
    </w:p>
    <w:p>
      <w:pPr>
        <w:pStyle w:val="2"/>
        <w:ind w:firstLine="560"/>
        <w:rPr>
          <w:rFonts w:hint="eastAsia" w:ascii="仿宋" w:hAnsi="仿宋" w:eastAsia="仿宋" w:cs="仿宋"/>
          <w:sz w:val="28"/>
          <w:szCs w:val="28"/>
        </w:rPr>
      </w:pPr>
    </w:p>
    <w:p>
      <w:pPr>
        <w:pStyle w:val="3"/>
      </w:pPr>
    </w:p>
    <w:p>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pPr>
        <w:pStyle w:val="2"/>
        <w:ind w:firstLine="560"/>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pPr>
    </w:p>
    <w:p>
      <w:pPr>
        <w:pStyle w:val="26"/>
        <w:numPr>
          <w:ilvl w:val="0"/>
          <w:numId w:val="5"/>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授权委托书（若是法人投标则不需提供此项）</w:t>
      </w:r>
    </w:p>
    <w:p>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7" w:name="_Toc15043"/>
      <w:bookmarkStart w:id="8" w:name="_Toc42237261"/>
      <w:bookmarkStart w:id="9" w:name="_Toc40207136"/>
      <w:bookmarkStart w:id="10" w:name="_Toc39938038"/>
    </w:p>
    <w:p>
      <w:pPr>
        <w:pStyle w:val="26"/>
        <w:spacing w:line="360" w:lineRule="exact"/>
        <w:ind w:left="100"/>
        <w:jc w:val="center"/>
        <w:outlineLvl w:val="9"/>
        <w:rPr>
          <w:rFonts w:hint="eastAsia" w:ascii="仿宋" w:hAnsi="仿宋" w:eastAsia="仿宋" w:cs="仿宋"/>
          <w:b/>
          <w:bCs/>
          <w:spacing w:val="2"/>
          <w:sz w:val="28"/>
          <w:szCs w:val="28"/>
        </w:rPr>
      </w:pPr>
    </w:p>
    <w:p>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pPr>
        <w:pStyle w:val="2"/>
        <w:ind w:firstLine="560"/>
        <w:rPr>
          <w:rFonts w:hint="eastAsia" w:ascii="仿宋" w:hAnsi="仿宋" w:eastAsia="仿宋" w:cs="仿宋"/>
          <w:sz w:val="28"/>
          <w:szCs w:val="28"/>
        </w:rPr>
      </w:pPr>
    </w:p>
    <w:p>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pPr>
        <w:pBdr>
          <w:top w:val="none" w:color="000000" w:sz="0" w:space="3"/>
          <w:bottom w:val="none" w:color="000000" w:sz="0" w:space="3"/>
          <w:right w:val="none" w:color="000000" w:sz="0" w:space="3"/>
        </w:pBdr>
        <w:ind w:right="31"/>
        <w:rPr>
          <w:rFonts w:hint="eastAsia" w:ascii="仿宋" w:hAnsi="仿宋" w:eastAsia="仿宋" w:cs="仿宋"/>
          <w:sz w:val="28"/>
          <w:szCs w:val="28"/>
        </w:rPr>
      </w:pPr>
    </w:p>
    <w:p>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pPr>
        <w:tabs>
          <w:tab w:val="left" w:pos="1068"/>
        </w:tabs>
        <w:spacing w:line="360" w:lineRule="auto"/>
        <w:rPr>
          <w:sz w:val="28"/>
          <w:szCs w:val="28"/>
        </w:rPr>
      </w:pPr>
      <w:r>
        <w:rPr>
          <w:rFonts w:hint="eastAsia"/>
          <w:sz w:val="28"/>
          <w:szCs w:val="28"/>
        </w:rPr>
        <w:t>附件3  委托人、被委托人身份证复印</w:t>
      </w:r>
    </w:p>
    <w:p>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pPr>
        <w:tabs>
          <w:tab w:val="left" w:pos="1068"/>
        </w:tabs>
        <w:spacing w:line="360" w:lineRule="auto"/>
        <w:ind w:firstLine="560" w:firstLineChars="200"/>
        <w:rPr>
          <w:sz w:val="28"/>
          <w:szCs w:val="28"/>
        </w:rPr>
      </w:pPr>
    </w:p>
    <w:p>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lang w:eastAsia="zh-CN"/>
        </w:rPr>
        <w:t>SGS-YNAMTXKCXM-2024-W002-FW</w:t>
      </w:r>
      <w:r>
        <w:rPr>
          <w:rFonts w:hint="eastAsia" w:ascii="仿宋_GB2312" w:hAnsi="仿宋_GB2312" w:eastAsia="仿宋_GB2312" w:cs="仿宋_GB2312"/>
          <w:sz w:val="28"/>
          <w:szCs w:val="28"/>
        </w:rPr>
        <w:t>）</w:t>
      </w:r>
    </w:p>
    <w:p>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lang w:eastAsia="zh-CN"/>
        </w:rPr>
        <w:t>SGS-YNAMTXKCXM-2024-W002-FW</w:t>
      </w:r>
      <w:r>
        <w:rPr>
          <w:rFonts w:hint="eastAsia" w:ascii="仿宋_GB2312" w:hAnsi="仿宋_GB2312" w:eastAsia="仿宋_GB2312" w:cs="仿宋_GB2312"/>
          <w:sz w:val="28"/>
          <w:szCs w:val="28"/>
        </w:rPr>
        <w:t>)</w:t>
      </w:r>
    </w:p>
    <w:p>
      <w:pPr>
        <w:tabs>
          <w:tab w:val="left" w:pos="1068"/>
        </w:tabs>
        <w:spacing w:line="360" w:lineRule="auto"/>
        <w:rPr>
          <w:sz w:val="28"/>
          <w:szCs w:val="28"/>
        </w:rPr>
      </w:pPr>
    </w:p>
    <w:p>
      <w:pPr>
        <w:tabs>
          <w:tab w:val="left" w:pos="1068"/>
        </w:tabs>
        <w:spacing w:line="360" w:lineRule="auto"/>
        <w:rPr>
          <w:sz w:val="28"/>
          <w:szCs w:val="28"/>
        </w:rPr>
      </w:pPr>
      <w:r>
        <w:rPr>
          <w:rFonts w:hint="eastAsia"/>
          <w:sz w:val="28"/>
          <w:szCs w:val="28"/>
        </w:rPr>
        <w:t>附件5 营业执照</w:t>
      </w:r>
    </w:p>
    <w:p>
      <w:pPr>
        <w:pStyle w:val="2"/>
        <w:ind w:firstLine="0" w:firstLineChars="0"/>
      </w:pPr>
      <w:r>
        <w:rPr>
          <w:rFonts w:hint="eastAsia"/>
        </w:rPr>
        <w:t>Lampiran 5 Izin usaha</w:t>
      </w:r>
    </w:p>
    <w:p>
      <w:pPr>
        <w:tabs>
          <w:tab w:val="left" w:pos="1068"/>
        </w:tabs>
        <w:spacing w:line="360" w:lineRule="auto"/>
        <w:ind w:firstLine="560" w:firstLineChars="200"/>
        <w:rPr>
          <w:sz w:val="28"/>
          <w:szCs w:val="28"/>
        </w:rPr>
      </w:pPr>
    </w:p>
    <w:p>
      <w:pPr>
        <w:tabs>
          <w:tab w:val="left" w:pos="1068"/>
        </w:tabs>
        <w:spacing w:line="360" w:lineRule="auto"/>
        <w:rPr>
          <w:sz w:val="28"/>
          <w:szCs w:val="28"/>
        </w:rPr>
      </w:pPr>
      <w:r>
        <w:rPr>
          <w:rFonts w:hint="eastAsia"/>
          <w:sz w:val="28"/>
          <w:szCs w:val="28"/>
        </w:rPr>
        <w:t>附件6 其它</w:t>
      </w:r>
    </w:p>
    <w:p>
      <w:pPr>
        <w:pStyle w:val="2"/>
        <w:ind w:firstLine="0" w:firstLineChars="0"/>
      </w:pPr>
      <w:r>
        <w:rPr>
          <w:rFonts w:hint="eastAsia"/>
        </w:rPr>
        <w:t>Lampiran 6 Lain-lain</w:t>
      </w:r>
    </w:p>
    <w:p>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pPr>
        <w:widowControl/>
        <w:shd w:val="clear" w:color="010000" w:fill="FFFFFF"/>
        <w:jc w:val="center"/>
        <w:rPr>
          <w:rFonts w:eastAsia="仿宋"/>
          <w:b/>
          <w:sz w:val="24"/>
        </w:rPr>
      </w:pPr>
      <w:r>
        <w:rPr>
          <w:rFonts w:eastAsia="仿宋"/>
          <w:b/>
          <w:sz w:val="30"/>
          <w:szCs w:val="30"/>
        </w:rPr>
        <w:t>施工设备租赁合同</w:t>
      </w:r>
    </w:p>
    <w:p>
      <w:pPr>
        <w:widowControl/>
        <w:shd w:val="clear" w:color="010000" w:fill="FFFFFF"/>
        <w:jc w:val="center"/>
        <w:rPr>
          <w:rFonts w:eastAsia="仿宋"/>
          <w:b/>
          <w:sz w:val="24"/>
        </w:rPr>
      </w:pPr>
      <w:r>
        <w:rPr>
          <w:rFonts w:eastAsia="仿宋"/>
          <w:b/>
          <w:sz w:val="24"/>
        </w:rPr>
        <w:t>Kontrak sewa peralatan konstruksi</w:t>
      </w:r>
    </w:p>
    <w:p>
      <w:pPr>
        <w:widowControl/>
        <w:shd w:val="clear" w:color="010000" w:fill="FFFFFF"/>
        <w:jc w:val="center"/>
        <w:rPr>
          <w:rFonts w:eastAsia="仿宋"/>
          <w:b/>
          <w:sz w:val="24"/>
        </w:rPr>
      </w:pPr>
    </w:p>
    <w:p>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w:t>
      </w:r>
      <w:r>
        <w:rPr>
          <w:rFonts w:hint="eastAsia"/>
          <w:szCs w:val="22"/>
          <w:lang w:eastAsia="zh-CN"/>
        </w:rPr>
        <w:t>SGS-YNAMTXKCXM-2024-W002-FW</w:t>
      </w:r>
      <w:r>
        <w:rPr>
          <w:rFonts w:hint="eastAsia"/>
          <w:szCs w:val="22"/>
        </w:rPr>
        <w:t xml:space="preserve">                                                                                                                     </w:t>
      </w:r>
    </w:p>
    <w:p>
      <w:pPr>
        <w:rPr>
          <w:rFonts w:hint="eastAsia" w:eastAsia="宋体"/>
          <w:szCs w:val="22"/>
          <w:lang w:eastAsia="zh-CN"/>
        </w:rPr>
      </w:pPr>
      <w:r>
        <w:rPr>
          <w:szCs w:val="22"/>
        </w:rPr>
        <w:t xml:space="preserve">Penyewa:PT.MCC15 ENGINEERING AND CONSTRUCTION </w:t>
      </w:r>
      <w:r>
        <w:rPr>
          <w:rFonts w:hint="eastAsia"/>
          <w:szCs w:val="22"/>
        </w:rPr>
        <w:t xml:space="preserve"> </w:t>
      </w:r>
      <w:r>
        <w:rPr>
          <w:szCs w:val="22"/>
        </w:rPr>
        <w:t>No. Kontrak:</w:t>
      </w:r>
      <w:r>
        <w:rPr>
          <w:rFonts w:hint="eastAsia"/>
          <w:szCs w:val="22"/>
          <w:lang w:eastAsia="zh-CN"/>
        </w:rPr>
        <w:t>SGS-YNAMTXKCXM-2024-W002-FW</w:t>
      </w:r>
    </w:p>
    <w:p>
      <w:pPr>
        <w:widowControl/>
        <w:jc w:val="left"/>
        <w:rPr>
          <w:szCs w:val="22"/>
        </w:rPr>
      </w:pPr>
      <w:r>
        <w:rPr>
          <w:rFonts w:hint="eastAsia"/>
          <w:szCs w:val="22"/>
        </w:rPr>
        <w:t>出租方：                                               签订地点: 雅加达</w:t>
      </w:r>
    </w:p>
    <w:p>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szCs w:val="22"/>
        </w:rPr>
        <w:t>Tempat penandatanganan:</w:t>
      </w:r>
      <w:r>
        <w:rPr>
          <w:rFonts w:eastAsia="黑体" w:asciiTheme="majorHAnsi" w:hAnsiTheme="majorHAnsi" w:cstheme="minorHAnsi"/>
          <w:sz w:val="22"/>
          <w:szCs w:val="22"/>
        </w:rPr>
        <w:t>JAKARTA</w:t>
      </w:r>
    </w:p>
    <w:p>
      <w:pPr>
        <w:rPr>
          <w:szCs w:val="22"/>
        </w:rPr>
      </w:pPr>
      <w:r>
        <w:rPr>
          <w:rFonts w:hint="eastAsia"/>
          <w:szCs w:val="22"/>
        </w:rPr>
        <w:t xml:space="preserve"> </w:t>
      </w:r>
    </w:p>
    <w:p>
      <w:pPr>
        <w:rPr>
          <w:szCs w:val="22"/>
        </w:rPr>
      </w:pPr>
      <w:r>
        <w:rPr>
          <w:rFonts w:hint="eastAsia"/>
          <w:szCs w:val="22"/>
        </w:rPr>
        <w:t>根据印尼有关法律、法规规定，为明确双方的权利和义务，经双方协商，特订立本合同，以便共同遵守：</w:t>
      </w:r>
    </w:p>
    <w:p>
      <w:pPr>
        <w:rPr>
          <w:szCs w:val="22"/>
        </w:rPr>
      </w:pPr>
      <w:r>
        <w:rPr>
          <w:szCs w:val="22"/>
        </w:rPr>
        <w:t>Sesuai dengan hukum dan peraturan yang berlaku di Indonesia, untuk memperjelas hak dan kewajiban kedua belah pihak, kontrak ini disimpulkan melalui kesepakatan bersama untuk memenuhi:</w:t>
      </w:r>
    </w:p>
    <w:p>
      <w:pPr>
        <w:jc w:val="center"/>
        <w:rPr>
          <w:szCs w:val="22"/>
        </w:rPr>
      </w:pPr>
    </w:p>
    <w:p>
      <w:pPr>
        <w:jc w:val="center"/>
        <w:rPr>
          <w:szCs w:val="22"/>
        </w:rPr>
      </w:pPr>
      <w:r>
        <w:rPr>
          <w:rFonts w:hint="eastAsia"/>
          <w:szCs w:val="22"/>
        </w:rPr>
        <w:t>第一条  设备名称、规格型号、数量、租赁单价</w:t>
      </w:r>
    </w:p>
    <w:p>
      <w:pPr>
        <w:jc w:val="center"/>
        <w:rPr>
          <w:szCs w:val="22"/>
        </w:rPr>
      </w:pPr>
      <w:r>
        <w:rPr>
          <w:szCs w:val="22"/>
        </w:rPr>
        <w:t>Chapter One</w:t>
      </w:r>
      <w:r>
        <w:rPr>
          <w:rFonts w:hint="eastAsia"/>
          <w:szCs w:val="22"/>
        </w:rPr>
        <w:t xml:space="preserve"> </w:t>
      </w:r>
      <w:r>
        <w:rPr>
          <w:szCs w:val="22"/>
        </w:rPr>
        <w:t>Equipment name, specification model, quantity, rental unit price</w:t>
      </w:r>
    </w:p>
    <w:p>
      <w:pPr>
        <w:jc w:val="center"/>
        <w:rPr>
          <w:szCs w:val="22"/>
        </w:rPr>
      </w:pPr>
      <w:r>
        <w:rPr>
          <w:szCs w:val="22"/>
        </w:rPr>
        <w:t>Nama peralatan, model spesifikasi, jumlah, harga unit sewa</w:t>
      </w:r>
    </w:p>
    <w:p>
      <w:pPr>
        <w:rPr>
          <w:szCs w:val="21"/>
        </w:rPr>
      </w:pPr>
    </w:p>
    <w:tbl>
      <w:tblPr>
        <w:tblStyle w:val="14"/>
        <w:tblW w:w="10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881"/>
        <w:gridCol w:w="611"/>
        <w:gridCol w:w="684"/>
        <w:gridCol w:w="1476"/>
        <w:gridCol w:w="1224"/>
        <w:gridCol w:w="1860"/>
        <w:gridCol w:w="1764"/>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6" w:hRule="atLeast"/>
        </w:trPr>
        <w:tc>
          <w:tcPr>
            <w:tcW w:w="478" w:type="dxa"/>
            <w:vAlign w:val="center"/>
          </w:tcPr>
          <w:p>
            <w:pPr>
              <w:rPr>
                <w:rFonts w:hint="eastAsia" w:ascii="仿宋" w:hAnsi="仿宋" w:eastAsia="仿宋"/>
                <w:b/>
                <w:szCs w:val="22"/>
              </w:rPr>
            </w:pPr>
            <w:r>
              <w:rPr>
                <w:rFonts w:hint="eastAsia" w:ascii="仿宋" w:hAnsi="仿宋" w:eastAsia="仿宋"/>
                <w:b/>
                <w:szCs w:val="22"/>
              </w:rPr>
              <w:t>序号</w:t>
            </w:r>
          </w:p>
        </w:tc>
        <w:tc>
          <w:tcPr>
            <w:tcW w:w="881" w:type="dxa"/>
            <w:vAlign w:val="center"/>
          </w:tcPr>
          <w:p>
            <w:pPr>
              <w:jc w:val="center"/>
              <w:rPr>
                <w:rFonts w:hint="eastAsia" w:ascii="仿宋" w:hAnsi="仿宋" w:eastAsia="仿宋"/>
                <w:b/>
                <w:szCs w:val="22"/>
              </w:rPr>
            </w:pPr>
            <w:r>
              <w:rPr>
                <w:rFonts w:hint="eastAsia" w:ascii="仿宋" w:hAnsi="仿宋" w:eastAsia="仿宋"/>
                <w:b/>
                <w:szCs w:val="22"/>
              </w:rPr>
              <w:t>名称及规格</w:t>
            </w:r>
          </w:p>
        </w:tc>
        <w:tc>
          <w:tcPr>
            <w:tcW w:w="611" w:type="dxa"/>
            <w:tcBorders>
              <w:right w:val="single" w:color="000000" w:sz="4" w:space="0"/>
            </w:tcBorders>
            <w:vAlign w:val="center"/>
          </w:tcPr>
          <w:p>
            <w:pPr>
              <w:jc w:val="center"/>
              <w:rPr>
                <w:rFonts w:hint="eastAsia" w:ascii="仿宋" w:hAnsi="仿宋" w:eastAsia="仿宋"/>
                <w:b/>
                <w:szCs w:val="22"/>
              </w:rPr>
            </w:pPr>
            <w:r>
              <w:rPr>
                <w:rFonts w:hint="eastAsia" w:ascii="仿宋" w:hAnsi="仿宋" w:eastAsia="仿宋"/>
                <w:b/>
                <w:szCs w:val="22"/>
              </w:rPr>
              <w:t>数量</w:t>
            </w:r>
          </w:p>
        </w:tc>
        <w:tc>
          <w:tcPr>
            <w:tcW w:w="684" w:type="dxa"/>
            <w:tcBorders>
              <w:left w:val="single" w:color="000000" w:sz="4" w:space="0"/>
            </w:tcBorders>
            <w:vAlign w:val="center"/>
          </w:tcPr>
          <w:p>
            <w:pPr>
              <w:jc w:val="center"/>
              <w:rPr>
                <w:rFonts w:hint="eastAsia" w:ascii="仿宋" w:hAnsi="仿宋" w:eastAsia="仿宋"/>
                <w:b/>
                <w:szCs w:val="22"/>
              </w:rPr>
            </w:pPr>
            <w:r>
              <w:rPr>
                <w:rFonts w:hint="eastAsia" w:ascii="仿宋" w:hAnsi="仿宋" w:eastAsia="仿宋"/>
                <w:b/>
              </w:rPr>
              <w:t>暂估租赁期(月）</w:t>
            </w:r>
          </w:p>
        </w:tc>
        <w:tc>
          <w:tcPr>
            <w:tcW w:w="1476" w:type="dxa"/>
            <w:tcBorders>
              <w:left w:val="single" w:color="000000" w:sz="4" w:space="0"/>
            </w:tcBorders>
            <w:vAlign w:val="center"/>
          </w:tcPr>
          <w:p>
            <w:pPr>
              <w:jc w:val="center"/>
              <w:rPr>
                <w:rFonts w:hint="eastAsia" w:ascii="仿宋" w:hAnsi="仿宋" w:eastAsia="仿宋"/>
                <w:b/>
                <w:szCs w:val="22"/>
              </w:rPr>
            </w:pPr>
            <w:r>
              <w:rPr>
                <w:rFonts w:hint="eastAsia" w:ascii="仿宋" w:hAnsi="仿宋" w:eastAsia="仿宋"/>
                <w:b/>
                <w:szCs w:val="22"/>
              </w:rPr>
              <w:t>不含税租赁单价</w:t>
            </w:r>
          </w:p>
          <w:p>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224" w:type="dxa"/>
            <w:tcBorders>
              <w:right w:val="single" w:color="000000" w:sz="4" w:space="0"/>
            </w:tcBorders>
            <w:vAlign w:val="center"/>
          </w:tcPr>
          <w:p>
            <w:pPr>
              <w:jc w:val="center"/>
              <w:rPr>
                <w:sz w:val="24"/>
                <w:szCs w:val="32"/>
              </w:rPr>
            </w:pPr>
            <w:r>
              <w:rPr>
                <w:rFonts w:hint="eastAsia" w:ascii="仿宋" w:hAnsi="仿宋" w:eastAsia="仿宋"/>
                <w:b/>
                <w:szCs w:val="22"/>
              </w:rPr>
              <w:t>超过270h加班单价印尼盾/小时/台</w:t>
            </w:r>
          </w:p>
        </w:tc>
        <w:tc>
          <w:tcPr>
            <w:tcW w:w="1860" w:type="dxa"/>
            <w:tcBorders>
              <w:right w:val="single" w:color="000000" w:sz="4" w:space="0"/>
            </w:tcBorders>
            <w:vAlign w:val="center"/>
          </w:tcPr>
          <w:p>
            <w:pPr>
              <w:jc w:val="center"/>
              <w:rPr>
                <w:rFonts w:hint="eastAsia" w:ascii="仿宋" w:hAnsi="仿宋" w:eastAsia="仿宋"/>
                <w:b/>
                <w:szCs w:val="22"/>
              </w:rPr>
            </w:pPr>
            <w:r>
              <w:rPr>
                <w:rFonts w:hint="eastAsia" w:ascii="仿宋" w:hAnsi="仿宋" w:eastAsia="仿宋"/>
                <w:b/>
                <w:szCs w:val="22"/>
              </w:rPr>
              <w:t>不含税租赁总金额（印尼盾）</w:t>
            </w:r>
          </w:p>
        </w:tc>
        <w:tc>
          <w:tcPr>
            <w:tcW w:w="1764" w:type="dxa"/>
            <w:tcBorders>
              <w:right w:val="single" w:color="000000" w:sz="4" w:space="0"/>
            </w:tcBorders>
            <w:vAlign w:val="center"/>
          </w:tcPr>
          <w:p>
            <w:pPr>
              <w:jc w:val="center"/>
              <w:rPr>
                <w:rFonts w:hint="eastAsia" w:ascii="仿宋" w:hAnsi="仿宋" w:eastAsia="仿宋"/>
                <w:b/>
              </w:rPr>
            </w:pPr>
            <w:r>
              <w:rPr>
                <w:rFonts w:hint="eastAsia" w:ascii="仿宋" w:hAnsi="仿宋" w:eastAsia="仿宋"/>
                <w:b/>
                <w:szCs w:val="22"/>
              </w:rPr>
              <w:t>含税（11%）租赁总金额（印尼盾）</w:t>
            </w:r>
          </w:p>
        </w:tc>
        <w:tc>
          <w:tcPr>
            <w:tcW w:w="1319" w:type="dxa"/>
            <w:tcBorders>
              <w:right w:val="single" w:color="000000" w:sz="4" w:space="0"/>
            </w:tcBorders>
            <w:vAlign w:val="center"/>
          </w:tcPr>
          <w:p>
            <w:pPr>
              <w:jc w:val="center"/>
              <w:rPr>
                <w:rFonts w:hint="eastAsia" w:ascii="仿宋" w:hAnsi="仿宋" w:eastAsia="仿宋"/>
                <w:b/>
              </w:rPr>
            </w:pPr>
            <w:r>
              <w:rPr>
                <w:rFonts w:hint="eastAsia" w:ascii="仿宋" w:hAnsi="仿宋" w:eastAsia="仿宋"/>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478" w:type="dxa"/>
            <w:vAlign w:val="center"/>
          </w:tcPr>
          <w:p>
            <w:pPr>
              <w:jc w:val="center"/>
              <w:rPr>
                <w:rFonts w:hint="eastAsia" w:ascii="宋体" w:hAnsi="宋体" w:cs="宋体"/>
                <w:bCs/>
                <w:szCs w:val="21"/>
              </w:rPr>
            </w:pPr>
            <w:r>
              <w:rPr>
                <w:rFonts w:hint="eastAsia" w:ascii="宋体" w:hAnsi="宋体" w:cs="宋体"/>
                <w:bCs/>
                <w:szCs w:val="21"/>
              </w:rPr>
              <w:t>1</w:t>
            </w:r>
          </w:p>
        </w:tc>
        <w:tc>
          <w:tcPr>
            <w:tcW w:w="881" w:type="dxa"/>
            <w:vAlign w:val="center"/>
          </w:tcPr>
          <w:p>
            <w:pPr>
              <w:widowControl/>
              <w:jc w:val="center"/>
              <w:textAlignment w:val="center"/>
              <w:rPr>
                <w:rFonts w:hint="eastAsia" w:ascii="宋体" w:hAnsi="宋体" w:cs="宋体"/>
                <w:szCs w:val="21"/>
              </w:rPr>
            </w:pPr>
            <w:r>
              <w:rPr>
                <w:rFonts w:hint="eastAsia" w:ascii="宋体" w:hAnsi="宋体" w:cs="宋体"/>
                <w:color w:val="000000"/>
                <w:kern w:val="0"/>
                <w:szCs w:val="21"/>
                <w:lang w:bidi="ar"/>
              </w:rPr>
              <w:t>100T越野汽车吊</w:t>
            </w:r>
          </w:p>
        </w:tc>
        <w:tc>
          <w:tcPr>
            <w:tcW w:w="611" w:type="dxa"/>
            <w:tcBorders>
              <w:right w:val="single" w:color="000000" w:sz="4" w:space="0"/>
            </w:tcBorders>
            <w:vAlign w:val="center"/>
          </w:tcPr>
          <w:p>
            <w:pPr>
              <w:widowControl/>
              <w:jc w:val="center"/>
              <w:textAlignment w:val="center"/>
              <w:rPr>
                <w:rFonts w:hint="eastAsia" w:ascii="宋体" w:hAnsi="宋体" w:cs="宋体"/>
                <w:bCs/>
                <w:szCs w:val="21"/>
              </w:rPr>
            </w:pPr>
            <w:r>
              <w:rPr>
                <w:rFonts w:hint="eastAsia" w:ascii="宋体" w:hAnsi="宋体" w:cs="宋体"/>
                <w:color w:val="000000"/>
                <w:kern w:val="0"/>
                <w:szCs w:val="21"/>
                <w:lang w:bidi="ar"/>
              </w:rPr>
              <w:t>1台</w:t>
            </w:r>
          </w:p>
        </w:tc>
        <w:tc>
          <w:tcPr>
            <w:tcW w:w="684" w:type="dxa"/>
            <w:tcBorders>
              <w:right w:val="single" w:color="000000" w:sz="4" w:space="0"/>
            </w:tcBorders>
            <w:vAlign w:val="center"/>
          </w:tcPr>
          <w:p>
            <w:pPr>
              <w:widowControl/>
              <w:jc w:val="center"/>
              <w:textAlignment w:val="center"/>
              <w:rPr>
                <w:rFonts w:hint="eastAsia" w:ascii="宋体" w:hAnsi="宋体" w:cs="宋体"/>
                <w:bCs/>
                <w:szCs w:val="21"/>
              </w:rPr>
            </w:pPr>
            <w:r>
              <w:rPr>
                <w:rFonts w:hint="eastAsia" w:ascii="宋体" w:hAnsi="宋体" w:cs="宋体"/>
                <w:color w:val="000000"/>
                <w:kern w:val="0"/>
                <w:szCs w:val="21"/>
                <w:lang w:bidi="ar"/>
              </w:rPr>
              <w:t>6</w:t>
            </w:r>
          </w:p>
        </w:tc>
        <w:tc>
          <w:tcPr>
            <w:tcW w:w="1476" w:type="dxa"/>
            <w:tcBorders>
              <w:right w:val="single" w:color="000000" w:sz="4" w:space="0"/>
            </w:tcBorders>
            <w:vAlign w:val="center"/>
          </w:tcPr>
          <w:p>
            <w:pPr>
              <w:widowControl/>
              <w:jc w:val="center"/>
              <w:textAlignment w:val="center"/>
              <w:rPr>
                <w:rFonts w:hint="eastAsia" w:ascii="宋体" w:hAnsi="宋体" w:cs="宋体"/>
                <w:color w:val="000000"/>
                <w:sz w:val="22"/>
                <w:szCs w:val="22"/>
              </w:rPr>
            </w:pPr>
          </w:p>
        </w:tc>
        <w:tc>
          <w:tcPr>
            <w:tcW w:w="1224" w:type="dxa"/>
            <w:tcBorders>
              <w:left w:val="single" w:color="000000" w:sz="4" w:space="0"/>
            </w:tcBorders>
            <w:vAlign w:val="center"/>
          </w:tcPr>
          <w:p>
            <w:pPr>
              <w:jc w:val="center"/>
              <w:rPr>
                <w:rFonts w:hint="eastAsia" w:ascii="宋体" w:hAnsi="宋体" w:cs="宋体"/>
                <w:bCs/>
                <w:szCs w:val="21"/>
              </w:rPr>
            </w:pPr>
          </w:p>
        </w:tc>
        <w:tc>
          <w:tcPr>
            <w:tcW w:w="1860" w:type="dxa"/>
            <w:tcBorders>
              <w:left w:val="single" w:color="000000" w:sz="4" w:space="0"/>
            </w:tcBorders>
            <w:vAlign w:val="center"/>
          </w:tcPr>
          <w:p>
            <w:pPr>
              <w:widowControl/>
              <w:jc w:val="right"/>
              <w:textAlignment w:val="center"/>
              <w:rPr>
                <w:rFonts w:hint="eastAsia" w:ascii="宋体" w:hAnsi="宋体" w:cs="宋体"/>
                <w:color w:val="000000"/>
                <w:sz w:val="22"/>
                <w:szCs w:val="22"/>
              </w:rPr>
            </w:pPr>
          </w:p>
        </w:tc>
        <w:tc>
          <w:tcPr>
            <w:tcW w:w="1764" w:type="dxa"/>
            <w:tcBorders>
              <w:right w:val="single" w:color="000000" w:sz="4" w:space="0"/>
            </w:tcBorders>
            <w:vAlign w:val="center"/>
          </w:tcPr>
          <w:p>
            <w:pPr>
              <w:widowControl/>
              <w:jc w:val="right"/>
              <w:textAlignment w:val="center"/>
              <w:rPr>
                <w:rFonts w:hint="eastAsia" w:ascii="宋体" w:hAnsi="宋体" w:cs="宋体"/>
                <w:color w:val="000000"/>
                <w:sz w:val="22"/>
                <w:szCs w:val="22"/>
              </w:rPr>
            </w:pPr>
          </w:p>
        </w:tc>
        <w:tc>
          <w:tcPr>
            <w:tcW w:w="1319" w:type="dxa"/>
            <w:tcBorders>
              <w:right w:val="single" w:color="000000" w:sz="4" w:space="0"/>
            </w:tcBorders>
            <w:vAlign w:val="center"/>
          </w:tcPr>
          <w:p>
            <w:pPr>
              <w:jc w:val="center"/>
              <w:rPr>
                <w:rFonts w:hint="eastAsia" w:ascii="宋体" w:hAnsi="宋体" w:cs="宋体"/>
                <w:bCs/>
                <w:szCs w:val="21"/>
              </w:rPr>
            </w:pPr>
            <w:r>
              <w:rPr>
                <w:rFonts w:hint="eastAsia"/>
              </w:rPr>
              <w:t>每月270小时作业，每台设备配备1位司机、1位起重工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478" w:type="dxa"/>
            <w:vAlign w:val="center"/>
          </w:tcPr>
          <w:p>
            <w:pPr>
              <w:jc w:val="center"/>
              <w:rPr>
                <w:rFonts w:hint="eastAsia" w:ascii="宋体" w:hAnsi="宋体" w:cs="宋体"/>
                <w:bCs/>
                <w:szCs w:val="21"/>
              </w:rPr>
            </w:pPr>
            <w:r>
              <w:rPr>
                <w:rFonts w:hint="eastAsia" w:ascii="宋体" w:hAnsi="宋体" w:cs="宋体"/>
                <w:bCs/>
                <w:szCs w:val="21"/>
              </w:rPr>
              <w:t>2</w:t>
            </w:r>
          </w:p>
        </w:tc>
        <w:tc>
          <w:tcPr>
            <w:tcW w:w="881" w:type="dxa"/>
            <w:vAlign w:val="center"/>
          </w:tcPr>
          <w:p>
            <w:pPr>
              <w:widowControl/>
              <w:jc w:val="center"/>
              <w:textAlignment w:val="center"/>
              <w:rPr>
                <w:rFonts w:hint="eastAsia" w:ascii="宋体" w:hAnsi="宋体" w:cs="宋体"/>
                <w:bCs/>
                <w:szCs w:val="21"/>
              </w:rPr>
            </w:pPr>
            <w:r>
              <w:rPr>
                <w:rFonts w:hint="eastAsia" w:ascii="宋体" w:hAnsi="宋体" w:cs="宋体"/>
                <w:color w:val="000000"/>
                <w:kern w:val="0"/>
                <w:szCs w:val="21"/>
                <w:lang w:bidi="ar"/>
              </w:rPr>
              <w:t>60T越野汽车吊</w:t>
            </w:r>
          </w:p>
        </w:tc>
        <w:tc>
          <w:tcPr>
            <w:tcW w:w="611" w:type="dxa"/>
            <w:tcBorders>
              <w:right w:val="single" w:color="000000" w:sz="4" w:space="0"/>
            </w:tcBorders>
            <w:vAlign w:val="center"/>
          </w:tcPr>
          <w:p>
            <w:pPr>
              <w:widowControl/>
              <w:jc w:val="center"/>
              <w:textAlignment w:val="center"/>
              <w:rPr>
                <w:rFonts w:hint="eastAsia" w:ascii="宋体" w:hAnsi="宋体" w:cs="宋体"/>
                <w:bCs/>
                <w:szCs w:val="21"/>
              </w:rPr>
            </w:pPr>
            <w:r>
              <w:rPr>
                <w:rFonts w:hint="eastAsia" w:ascii="宋体" w:hAnsi="宋体" w:cs="宋体"/>
                <w:color w:val="000000"/>
                <w:kern w:val="0"/>
                <w:szCs w:val="21"/>
                <w:lang w:bidi="ar"/>
              </w:rPr>
              <w:t>1台</w:t>
            </w:r>
          </w:p>
        </w:tc>
        <w:tc>
          <w:tcPr>
            <w:tcW w:w="684" w:type="dxa"/>
            <w:tcBorders>
              <w:right w:val="single" w:color="000000" w:sz="4" w:space="0"/>
            </w:tcBorders>
            <w:vAlign w:val="center"/>
          </w:tcPr>
          <w:p>
            <w:pPr>
              <w:widowControl/>
              <w:jc w:val="center"/>
              <w:textAlignment w:val="center"/>
              <w:rPr>
                <w:rFonts w:hint="eastAsia" w:ascii="宋体" w:hAnsi="宋体" w:cs="宋体"/>
                <w:bCs/>
                <w:szCs w:val="21"/>
              </w:rPr>
            </w:pPr>
            <w:r>
              <w:rPr>
                <w:rFonts w:hint="eastAsia" w:ascii="宋体" w:hAnsi="宋体" w:cs="宋体"/>
                <w:color w:val="000000"/>
                <w:kern w:val="0"/>
                <w:szCs w:val="21"/>
                <w:lang w:bidi="ar"/>
              </w:rPr>
              <w:t>6</w:t>
            </w:r>
          </w:p>
        </w:tc>
        <w:tc>
          <w:tcPr>
            <w:tcW w:w="1476" w:type="dxa"/>
            <w:tcBorders>
              <w:right w:val="single" w:color="000000" w:sz="4" w:space="0"/>
            </w:tcBorders>
            <w:vAlign w:val="center"/>
          </w:tcPr>
          <w:p>
            <w:pPr>
              <w:widowControl/>
              <w:jc w:val="center"/>
              <w:textAlignment w:val="center"/>
              <w:rPr>
                <w:rFonts w:hint="eastAsia" w:ascii="宋体" w:hAnsi="宋体" w:cs="宋体"/>
                <w:color w:val="000000"/>
                <w:sz w:val="22"/>
                <w:szCs w:val="22"/>
              </w:rPr>
            </w:pPr>
          </w:p>
        </w:tc>
        <w:tc>
          <w:tcPr>
            <w:tcW w:w="1224" w:type="dxa"/>
            <w:tcBorders>
              <w:left w:val="single" w:color="000000" w:sz="4" w:space="0"/>
            </w:tcBorders>
            <w:vAlign w:val="center"/>
          </w:tcPr>
          <w:p>
            <w:pPr>
              <w:jc w:val="center"/>
              <w:rPr>
                <w:rFonts w:hint="eastAsia" w:ascii="宋体" w:hAnsi="宋体" w:cs="宋体"/>
                <w:bCs/>
                <w:szCs w:val="21"/>
              </w:rPr>
            </w:pPr>
          </w:p>
        </w:tc>
        <w:tc>
          <w:tcPr>
            <w:tcW w:w="1860" w:type="dxa"/>
            <w:tcBorders>
              <w:left w:val="single" w:color="000000" w:sz="4" w:space="0"/>
            </w:tcBorders>
            <w:vAlign w:val="center"/>
          </w:tcPr>
          <w:p>
            <w:pPr>
              <w:widowControl/>
              <w:jc w:val="right"/>
              <w:textAlignment w:val="center"/>
              <w:rPr>
                <w:rFonts w:hint="eastAsia" w:ascii="宋体" w:hAnsi="宋体" w:cs="宋体"/>
                <w:color w:val="000000"/>
                <w:sz w:val="22"/>
                <w:szCs w:val="22"/>
              </w:rPr>
            </w:pPr>
          </w:p>
        </w:tc>
        <w:tc>
          <w:tcPr>
            <w:tcW w:w="1764" w:type="dxa"/>
            <w:tcBorders>
              <w:right w:val="single" w:color="000000" w:sz="4" w:space="0"/>
            </w:tcBorders>
            <w:vAlign w:val="center"/>
          </w:tcPr>
          <w:p>
            <w:pPr>
              <w:widowControl/>
              <w:jc w:val="right"/>
              <w:textAlignment w:val="center"/>
              <w:rPr>
                <w:rFonts w:hint="eastAsia" w:ascii="宋体" w:hAnsi="宋体" w:cs="宋体"/>
                <w:color w:val="000000"/>
                <w:sz w:val="22"/>
                <w:szCs w:val="22"/>
              </w:rPr>
            </w:pPr>
          </w:p>
        </w:tc>
        <w:tc>
          <w:tcPr>
            <w:tcW w:w="1319" w:type="dxa"/>
            <w:tcBorders>
              <w:right w:val="single" w:color="000000" w:sz="4" w:space="0"/>
            </w:tcBorders>
            <w:vAlign w:val="center"/>
          </w:tcPr>
          <w:p>
            <w:pPr>
              <w:jc w:val="center"/>
              <w:rPr>
                <w:rFonts w:hint="eastAsia" w:ascii="宋体" w:hAnsi="宋体" w:cs="宋体"/>
                <w:bCs/>
                <w:szCs w:val="21"/>
              </w:rPr>
            </w:pPr>
            <w:r>
              <w:rPr>
                <w:rFonts w:hint="eastAsia"/>
              </w:rPr>
              <w:t>每月270小时作业，每台设备配备1位司机、1位起重工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478" w:type="dxa"/>
            <w:vAlign w:val="center"/>
          </w:tcPr>
          <w:p>
            <w:pPr>
              <w:jc w:val="center"/>
              <w:rPr>
                <w:rFonts w:hint="eastAsia" w:ascii="宋体" w:hAnsi="宋体" w:eastAsia="宋体" w:cs="宋体"/>
                <w:bCs/>
                <w:szCs w:val="21"/>
              </w:rPr>
            </w:pPr>
            <w:r>
              <w:rPr>
                <w:rFonts w:hint="eastAsia" w:ascii="宋体" w:hAnsi="宋体" w:eastAsia="宋体" w:cs="宋体"/>
                <w:bCs/>
                <w:szCs w:val="21"/>
              </w:rPr>
              <w:t>3</w:t>
            </w:r>
          </w:p>
        </w:tc>
        <w:tc>
          <w:tcPr>
            <w:tcW w:w="881" w:type="dxa"/>
            <w:vAlign w:val="center"/>
          </w:tcPr>
          <w:p>
            <w:pPr>
              <w:jc w:val="center"/>
              <w:rPr>
                <w:rFonts w:hint="eastAsia" w:ascii="宋体" w:hAnsi="宋体" w:eastAsia="宋体" w:cs="宋体"/>
                <w:bCs/>
                <w:szCs w:val="21"/>
              </w:rPr>
            </w:pPr>
            <w:r>
              <w:rPr>
                <w:rFonts w:hint="eastAsia" w:ascii="宋体" w:hAnsi="宋体" w:eastAsia="宋体" w:cs="宋体"/>
                <w:bCs/>
                <w:szCs w:val="21"/>
              </w:rPr>
              <w:t>100T进出场费</w:t>
            </w:r>
          </w:p>
        </w:tc>
        <w:tc>
          <w:tcPr>
            <w:tcW w:w="611" w:type="dxa"/>
            <w:tcBorders>
              <w:right w:val="single" w:color="000000"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lang w:val="en-US" w:eastAsia="zh-CN"/>
              </w:rPr>
              <w:t>1</w:t>
            </w:r>
            <w:r>
              <w:rPr>
                <w:rFonts w:hint="eastAsia" w:ascii="宋体" w:hAnsi="宋体" w:eastAsia="宋体" w:cs="宋体"/>
                <w:bCs/>
                <w:szCs w:val="21"/>
              </w:rPr>
              <w:t>台</w:t>
            </w:r>
          </w:p>
        </w:tc>
        <w:tc>
          <w:tcPr>
            <w:tcW w:w="684" w:type="dxa"/>
            <w:tcBorders>
              <w:right w:val="single" w:color="000000" w:sz="4"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1</w:t>
            </w:r>
          </w:p>
        </w:tc>
        <w:tc>
          <w:tcPr>
            <w:tcW w:w="1476" w:type="dxa"/>
            <w:tcBorders>
              <w:right w:val="single" w:color="000000" w:sz="4" w:space="0"/>
            </w:tcBorders>
            <w:vAlign w:val="center"/>
          </w:tcPr>
          <w:p>
            <w:pPr>
              <w:widowControl/>
              <w:jc w:val="right"/>
              <w:textAlignment w:val="center"/>
              <w:rPr>
                <w:rFonts w:hint="eastAsia" w:ascii="宋体" w:hAnsi="宋体" w:cs="宋体"/>
                <w:color w:val="000000"/>
                <w:sz w:val="22"/>
                <w:szCs w:val="22"/>
              </w:rPr>
            </w:pPr>
          </w:p>
        </w:tc>
        <w:tc>
          <w:tcPr>
            <w:tcW w:w="1224" w:type="dxa"/>
            <w:tcBorders>
              <w:left w:val="single" w:color="000000" w:sz="4" w:space="0"/>
            </w:tcBorders>
            <w:vAlign w:val="center"/>
          </w:tcPr>
          <w:p>
            <w:pPr>
              <w:jc w:val="center"/>
              <w:rPr>
                <w:rFonts w:hint="eastAsia" w:ascii="宋体" w:hAnsi="宋体" w:cs="宋体"/>
                <w:bCs/>
                <w:szCs w:val="21"/>
              </w:rPr>
            </w:pPr>
          </w:p>
        </w:tc>
        <w:tc>
          <w:tcPr>
            <w:tcW w:w="1860" w:type="dxa"/>
            <w:tcBorders>
              <w:left w:val="single" w:color="000000" w:sz="4" w:space="0"/>
            </w:tcBorders>
            <w:vAlign w:val="center"/>
          </w:tcPr>
          <w:p>
            <w:pPr>
              <w:widowControl/>
              <w:jc w:val="right"/>
              <w:textAlignment w:val="center"/>
              <w:rPr>
                <w:rFonts w:hint="eastAsia" w:ascii="宋体" w:hAnsi="宋体" w:cs="宋体"/>
                <w:color w:val="000000"/>
                <w:sz w:val="22"/>
                <w:szCs w:val="22"/>
              </w:rPr>
            </w:pPr>
          </w:p>
        </w:tc>
        <w:tc>
          <w:tcPr>
            <w:tcW w:w="1764" w:type="dxa"/>
            <w:tcBorders>
              <w:right w:val="single" w:color="000000" w:sz="4" w:space="0"/>
            </w:tcBorders>
            <w:vAlign w:val="center"/>
          </w:tcPr>
          <w:p>
            <w:pPr>
              <w:widowControl/>
              <w:jc w:val="right"/>
              <w:textAlignment w:val="center"/>
              <w:rPr>
                <w:rFonts w:hint="eastAsia" w:ascii="宋体" w:hAnsi="宋体" w:cs="宋体"/>
                <w:color w:val="000000"/>
                <w:sz w:val="22"/>
                <w:szCs w:val="22"/>
              </w:rPr>
            </w:pPr>
          </w:p>
        </w:tc>
        <w:tc>
          <w:tcPr>
            <w:tcW w:w="1319" w:type="dxa"/>
            <w:tcBorders>
              <w:right w:val="single" w:color="000000" w:sz="4" w:space="0"/>
            </w:tcBorders>
            <w:vAlign w:val="center"/>
          </w:tcPr>
          <w:p>
            <w:pPr>
              <w:jc w:val="center"/>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478" w:type="dxa"/>
            <w:vAlign w:val="center"/>
          </w:tcPr>
          <w:p>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4</w:t>
            </w:r>
          </w:p>
        </w:tc>
        <w:tc>
          <w:tcPr>
            <w:tcW w:w="881" w:type="dxa"/>
            <w:vAlign w:val="center"/>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60T进出场费</w:t>
            </w:r>
          </w:p>
        </w:tc>
        <w:tc>
          <w:tcPr>
            <w:tcW w:w="611" w:type="dxa"/>
            <w:tcBorders>
              <w:right w:val="single" w:color="000000" w:sz="4" w:space="0"/>
            </w:tcBorders>
            <w:vAlign w:val="center"/>
          </w:tcPr>
          <w:p>
            <w:pPr>
              <w:jc w:val="center"/>
              <w:rPr>
                <w:rFonts w:hint="default" w:ascii="宋体" w:hAnsi="宋体" w:eastAsia="宋体" w:cs="宋体"/>
                <w:bCs/>
                <w:szCs w:val="21"/>
                <w:lang w:val="en-US" w:eastAsia="zh-CN"/>
              </w:rPr>
            </w:pPr>
            <w:r>
              <w:rPr>
                <w:rFonts w:hint="eastAsia" w:ascii="宋体" w:hAnsi="宋体" w:eastAsia="宋体" w:cs="宋体"/>
                <w:bCs/>
                <w:szCs w:val="21"/>
                <w:lang w:val="en-US" w:eastAsia="zh-CN"/>
              </w:rPr>
              <w:t>1台</w:t>
            </w:r>
          </w:p>
        </w:tc>
        <w:tc>
          <w:tcPr>
            <w:tcW w:w="684" w:type="dxa"/>
            <w:tcBorders>
              <w:right w:val="single" w:color="000000" w:sz="4" w:space="0"/>
            </w:tcBorders>
            <w:vAlign w:val="center"/>
          </w:tcPr>
          <w:p>
            <w:pPr>
              <w:jc w:val="center"/>
              <w:rPr>
                <w:rFonts w:hint="eastAsia" w:ascii="宋体" w:hAnsi="宋体" w:eastAsia="宋体" w:cs="宋体"/>
                <w:bCs/>
                <w:szCs w:val="21"/>
                <w:lang w:val="en-US" w:eastAsia="zh-CN"/>
              </w:rPr>
            </w:pPr>
            <w:r>
              <w:rPr>
                <w:rFonts w:hint="eastAsia" w:ascii="宋体" w:hAnsi="宋体" w:eastAsia="宋体" w:cs="宋体"/>
                <w:bCs/>
                <w:szCs w:val="21"/>
                <w:lang w:val="en-US" w:eastAsia="zh-CN"/>
              </w:rPr>
              <w:t>1</w:t>
            </w:r>
          </w:p>
        </w:tc>
        <w:tc>
          <w:tcPr>
            <w:tcW w:w="1476" w:type="dxa"/>
            <w:tcBorders>
              <w:right w:val="single" w:color="000000" w:sz="4" w:space="0"/>
            </w:tcBorders>
            <w:vAlign w:val="center"/>
          </w:tcPr>
          <w:p>
            <w:pPr>
              <w:widowControl/>
              <w:jc w:val="right"/>
              <w:textAlignment w:val="center"/>
              <w:rPr>
                <w:rFonts w:hint="eastAsia" w:ascii="宋体" w:hAnsi="宋体" w:cs="宋体"/>
                <w:color w:val="000000"/>
                <w:sz w:val="22"/>
                <w:szCs w:val="22"/>
              </w:rPr>
            </w:pPr>
          </w:p>
        </w:tc>
        <w:tc>
          <w:tcPr>
            <w:tcW w:w="1224" w:type="dxa"/>
            <w:tcBorders>
              <w:left w:val="single" w:color="000000" w:sz="4" w:space="0"/>
            </w:tcBorders>
            <w:vAlign w:val="center"/>
          </w:tcPr>
          <w:p>
            <w:pPr>
              <w:jc w:val="center"/>
              <w:rPr>
                <w:rFonts w:hint="eastAsia" w:ascii="宋体" w:hAnsi="宋体" w:cs="宋体"/>
                <w:bCs/>
                <w:szCs w:val="21"/>
              </w:rPr>
            </w:pPr>
          </w:p>
        </w:tc>
        <w:tc>
          <w:tcPr>
            <w:tcW w:w="1860" w:type="dxa"/>
            <w:tcBorders>
              <w:left w:val="single" w:color="000000" w:sz="4" w:space="0"/>
            </w:tcBorders>
            <w:vAlign w:val="center"/>
          </w:tcPr>
          <w:p>
            <w:pPr>
              <w:widowControl/>
              <w:jc w:val="right"/>
              <w:textAlignment w:val="center"/>
              <w:rPr>
                <w:rFonts w:hint="eastAsia" w:ascii="宋体" w:hAnsi="宋体" w:cs="宋体"/>
                <w:color w:val="000000"/>
                <w:sz w:val="22"/>
                <w:szCs w:val="22"/>
              </w:rPr>
            </w:pPr>
          </w:p>
        </w:tc>
        <w:tc>
          <w:tcPr>
            <w:tcW w:w="1764" w:type="dxa"/>
            <w:tcBorders>
              <w:right w:val="single" w:color="000000" w:sz="4" w:space="0"/>
            </w:tcBorders>
            <w:vAlign w:val="center"/>
          </w:tcPr>
          <w:p>
            <w:pPr>
              <w:widowControl/>
              <w:jc w:val="right"/>
              <w:textAlignment w:val="center"/>
              <w:rPr>
                <w:rFonts w:hint="eastAsia" w:ascii="宋体" w:hAnsi="宋体" w:cs="宋体"/>
                <w:color w:val="000000"/>
                <w:sz w:val="22"/>
                <w:szCs w:val="22"/>
              </w:rPr>
            </w:pPr>
          </w:p>
        </w:tc>
        <w:tc>
          <w:tcPr>
            <w:tcW w:w="1319" w:type="dxa"/>
            <w:tcBorders>
              <w:right w:val="single" w:color="000000" w:sz="4" w:space="0"/>
            </w:tcBorders>
            <w:vAlign w:val="center"/>
          </w:tcPr>
          <w:p>
            <w:pPr>
              <w:jc w:val="center"/>
              <w:rPr>
                <w:rFonts w:hint="eastAsia" w:ascii="宋体" w:hAnsi="宋体" w:cs="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7214" w:type="dxa"/>
            <w:gridSpan w:val="7"/>
            <w:vAlign w:val="center"/>
          </w:tcPr>
          <w:p>
            <w:pPr>
              <w:jc w:val="right"/>
              <w:rPr>
                <w:rFonts w:hint="eastAsia" w:ascii="宋体" w:hAnsi="宋体" w:cs="宋体"/>
                <w:b/>
                <w:bCs/>
                <w:szCs w:val="21"/>
              </w:rPr>
            </w:pPr>
            <w:r>
              <w:rPr>
                <w:rFonts w:hint="eastAsia"/>
                <w:b/>
                <w:bCs/>
              </w:rPr>
              <w:t>不含税合计Jumlah belum termasuk pajak:</w:t>
            </w:r>
          </w:p>
        </w:tc>
        <w:tc>
          <w:tcPr>
            <w:tcW w:w="3083" w:type="dxa"/>
            <w:gridSpan w:val="2"/>
            <w:tcBorders>
              <w:right w:val="single" w:color="000000" w:sz="4" w:space="0"/>
            </w:tcBorders>
            <w:vAlign w:val="center"/>
          </w:tcPr>
          <w:p>
            <w:pPr>
              <w:widowControl/>
              <w:jc w:val="left"/>
              <w:textAlignment w:val="center"/>
              <w:rPr>
                <w:rFonts w:hint="eastAsia"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7214" w:type="dxa"/>
            <w:gridSpan w:val="7"/>
            <w:vAlign w:val="center"/>
          </w:tcPr>
          <w:p>
            <w:pPr>
              <w:jc w:val="right"/>
              <w:rPr>
                <w:rFonts w:hint="eastAsia" w:ascii="宋体" w:hAnsi="宋体" w:cs="宋体"/>
                <w:b/>
                <w:bCs/>
                <w:szCs w:val="21"/>
              </w:rPr>
            </w:pPr>
            <w:r>
              <w:rPr>
                <w:rFonts w:hint="eastAsia"/>
                <w:b/>
                <w:bCs/>
              </w:rPr>
              <w:t>11%增值税 PPN(11%):</w:t>
            </w:r>
          </w:p>
        </w:tc>
        <w:tc>
          <w:tcPr>
            <w:tcW w:w="3083" w:type="dxa"/>
            <w:gridSpan w:val="2"/>
            <w:tcBorders>
              <w:right w:val="single" w:color="000000" w:sz="4" w:space="0"/>
            </w:tcBorders>
            <w:vAlign w:val="center"/>
          </w:tcPr>
          <w:p>
            <w:pPr>
              <w:widowControl/>
              <w:jc w:val="left"/>
              <w:textAlignment w:val="center"/>
              <w:rPr>
                <w:rFonts w:hint="eastAsia"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7214" w:type="dxa"/>
            <w:gridSpan w:val="7"/>
            <w:vAlign w:val="center"/>
          </w:tcPr>
          <w:p>
            <w:pPr>
              <w:jc w:val="right"/>
              <w:rPr>
                <w:rFonts w:hint="eastAsia" w:ascii="宋体" w:hAnsi="宋体" w:cs="宋体"/>
                <w:b/>
                <w:bCs/>
                <w:szCs w:val="21"/>
              </w:rPr>
            </w:pPr>
            <w:r>
              <w:rPr>
                <w:rFonts w:hint="eastAsia"/>
                <w:b/>
                <w:bCs/>
              </w:rPr>
              <w:t>价税合计Jumlah sudah termasuk pajak:</w:t>
            </w:r>
          </w:p>
        </w:tc>
        <w:tc>
          <w:tcPr>
            <w:tcW w:w="3083" w:type="dxa"/>
            <w:gridSpan w:val="2"/>
            <w:tcBorders>
              <w:right w:val="single" w:color="000000" w:sz="4" w:space="0"/>
            </w:tcBorders>
            <w:vAlign w:val="center"/>
          </w:tcPr>
          <w:p>
            <w:pPr>
              <w:widowControl/>
              <w:jc w:val="left"/>
              <w:textAlignment w:val="center"/>
              <w:rPr>
                <w:rFonts w:hint="eastAsia"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pPr>
              <w:rPr>
                <w:rFonts w:hint="eastAsia" w:ascii="宋体" w:hAnsi="宋体" w:cs="宋体"/>
                <w:bCs/>
                <w:szCs w:val="21"/>
              </w:rPr>
            </w:pPr>
            <w:r>
              <w:rPr>
                <w:rFonts w:hint="eastAsia" w:ascii="宋体" w:hAnsi="宋体" w:cs="宋体"/>
                <w:bCs/>
                <w:szCs w:val="21"/>
              </w:rPr>
              <w:t>总金额计算=租赁单价×租赁数量×租赁时间+进出场费用×趟数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pPr>
              <w:rPr>
                <w:rFonts w:hint="eastAsia" w:ascii="宋体" w:hAnsi="宋体" w:cs="宋体"/>
                <w:bCs/>
                <w:szCs w:val="21"/>
              </w:rPr>
            </w:pPr>
            <w:r>
              <w:rPr>
                <w:rFonts w:hint="eastAsia" w:ascii="宋体" w:hAnsi="宋体" w:cs="宋体"/>
                <w:bCs/>
                <w:szCs w:val="21"/>
                <w:lang w:bidi="ar"/>
              </w:rPr>
              <w:t>招标数量为项目暂估数量，与实际租赁需求数量可能存在偏差，若最终租赁数量少于本暂估量，按实际租赁数量执行。</w:t>
            </w:r>
          </w:p>
        </w:tc>
      </w:tr>
    </w:tbl>
    <w:p>
      <w:pPr>
        <w:pStyle w:val="2"/>
        <w:ind w:firstLine="0" w:firstLineChars="0"/>
      </w:pPr>
    </w:p>
    <w:p>
      <w:pPr>
        <w:pStyle w:val="3"/>
      </w:pPr>
    </w:p>
    <w:p>
      <w:pPr>
        <w:rPr>
          <w:szCs w:val="22"/>
        </w:rPr>
      </w:pPr>
      <w:r>
        <w:rPr>
          <w:rFonts w:hint="eastAsia"/>
          <w:szCs w:val="22"/>
        </w:rPr>
        <w:t>以上单价包括除增值税和燃料费以外的费用，预提税（pph23）由出租方承担。单价包含设备租赁使用权、维修的费用；每台设备配备相应的操作手；由设备出租方提供操作司机的工资，社会保险（包括但不限于社保、劳动保护、工伤保险和意外伤害保险等）、交通、防疫措施费用。承租方承担设备燃油、操作人员食宿。出租方已充分考虑各类风险因素的综合单价。本价格将作为最终结算的依据，除双方另有约定外结算时不再调整。</w:t>
      </w:r>
    </w:p>
    <w:p>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pPr>
        <w:jc w:val="center"/>
        <w:rPr>
          <w:szCs w:val="22"/>
        </w:rPr>
      </w:pPr>
    </w:p>
    <w:p>
      <w:pPr>
        <w:jc w:val="center"/>
        <w:rPr>
          <w:szCs w:val="22"/>
        </w:rPr>
      </w:pPr>
      <w:r>
        <w:rPr>
          <w:rFonts w:hint="eastAsia"/>
          <w:szCs w:val="22"/>
        </w:rPr>
        <w:t>第二条 租赁方式及所有权</w:t>
      </w:r>
    </w:p>
    <w:p>
      <w:pPr>
        <w:jc w:val="center"/>
        <w:rPr>
          <w:szCs w:val="22"/>
        </w:rPr>
      </w:pPr>
      <w:r>
        <w:rPr>
          <w:szCs w:val="22"/>
        </w:rPr>
        <w:t>Chapter Two Lease method and ownership</w:t>
      </w:r>
    </w:p>
    <w:p>
      <w:pPr>
        <w:jc w:val="center"/>
        <w:rPr>
          <w:szCs w:val="22"/>
        </w:rPr>
      </w:pPr>
      <w:r>
        <w:rPr>
          <w:szCs w:val="22"/>
        </w:rPr>
        <w:t>Metode dan kepemilikan sewa</w:t>
      </w:r>
    </w:p>
    <w:p>
      <w:pPr>
        <w:rPr>
          <w:color w:val="auto"/>
          <w:szCs w:val="21"/>
        </w:rPr>
      </w:pPr>
    </w:p>
    <w:p>
      <w:pPr>
        <w:rPr>
          <w:szCs w:val="22"/>
        </w:rPr>
      </w:pPr>
      <w:r>
        <w:rPr>
          <w:rFonts w:hint="eastAsia"/>
          <w:color w:val="auto"/>
          <w:szCs w:val="22"/>
        </w:rPr>
        <w:t>1</w:t>
      </w:r>
      <w:r>
        <w:rPr>
          <w:color w:val="auto"/>
          <w:szCs w:val="22"/>
        </w:rPr>
        <w:t xml:space="preserve">. </w:t>
      </w:r>
      <w:r>
        <w:rPr>
          <w:rFonts w:hint="eastAsia"/>
          <w:color w:val="auto"/>
          <w:szCs w:val="22"/>
        </w:rPr>
        <w:t>租赁方式：出租方以其自有设备提供经营性租赁该设备在</w:t>
      </w:r>
      <w:r>
        <w:rPr>
          <w:rFonts w:eastAsia="黑体" w:asciiTheme="majorHAnsi" w:hAnsiTheme="majorHAnsi" w:cstheme="minorHAnsi"/>
          <w:color w:val="auto"/>
          <w:szCs w:val="21"/>
          <w:u w:val="single"/>
        </w:rPr>
        <w:t>印尼阿曼</w:t>
      </w:r>
      <w:r>
        <w:rPr>
          <w:rFonts w:hint="eastAsia" w:eastAsia="黑体" w:asciiTheme="majorHAnsi" w:hAnsiTheme="majorHAnsi" w:cstheme="minorHAnsi"/>
          <w:color w:val="auto"/>
          <w:szCs w:val="21"/>
          <w:u w:val="single"/>
        </w:rPr>
        <w:t>铜选矿厂</w:t>
      </w:r>
      <w:r>
        <w:rPr>
          <w:rFonts w:hint="eastAsia"/>
          <w:color w:val="auto"/>
          <w:szCs w:val="22"/>
        </w:rPr>
        <w:t>工作，设备租赁由出租方每台设备配备合同约定操作人员，负责设备的操作及负责该设备的维护保养工作。如需增加操作人员，承租方应提前3天通知出租方，并承担操作人员相应工资、生活费，</w:t>
      </w:r>
      <w:r>
        <w:rPr>
          <w:rFonts w:hint="eastAsia"/>
          <w:szCs w:val="22"/>
        </w:rPr>
        <w:t>出租方必须在接到承租方通知15天内将司机安排进场，延迟将按照租金Rp1,000,000/天扣除。</w:t>
      </w:r>
    </w:p>
    <w:p>
      <w:pPr>
        <w:rPr>
          <w:szCs w:val="22"/>
        </w:rPr>
      </w:pPr>
      <w:r>
        <w:rPr>
          <w:rFonts w:hint="eastAsia"/>
          <w:szCs w:val="22"/>
        </w:rPr>
        <w:t>Metode sewa: Lessor menyediakan sewa operasi dengan peralatannya sendiri. Peralatan tersebut bekerja di konsentrator tembaga Oman di Indonesia. Penyewaan peralatan mengharuskan lessor untuk melengkapi setiap peralatan dengan operator yang disepakati dalam kontrak, yang bertanggung jawab atas pengoperasiannya peralatan dan pemeliharaan peralatan. Jika operator tambahan diperlukan, penyewa harus memberi tahu penyewa 3 hari sebelumnya dan menanggung gaji dan biaya hidup operator yang sesuai. Penyewa harus mengatur agar pengemudi dapat memasuki lokasi dalam waktu 15 hari setelah menerima pemberitahuan penundaan dari penyewa dikenakan potongan sewa sebesar Rp1.000.000/hari.</w:t>
      </w:r>
    </w:p>
    <w:p>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pPr>
        <w:rPr>
          <w:szCs w:val="22"/>
        </w:rPr>
      </w:pPr>
      <w:r>
        <w:rPr>
          <w:szCs w:val="22"/>
        </w:rPr>
        <w:t>Kepemilikan peralatan yang disewa: Kepemilikan peralatan yang disewa adalah milik Pemilik Alat, dan Penyewa hanya memiliki hak untuk menggunakan peralatan yang disewa selama periode sewa.</w:t>
      </w:r>
    </w:p>
    <w:p>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pPr>
        <w:rPr>
          <w:szCs w:val="22"/>
        </w:rPr>
      </w:pPr>
      <w:r>
        <w:rPr>
          <w:szCs w:val="22"/>
        </w:rPr>
        <w:t>Penyewa tidak boleh menggadaikan peralatan untuk alasan apa pun tanpa persetujuan Pemilik Alat.</w:t>
      </w:r>
    </w:p>
    <w:p>
      <w:pPr>
        <w:jc w:val="center"/>
        <w:rPr>
          <w:szCs w:val="22"/>
        </w:rPr>
      </w:pPr>
    </w:p>
    <w:p>
      <w:pPr>
        <w:jc w:val="center"/>
        <w:rPr>
          <w:szCs w:val="22"/>
        </w:rPr>
      </w:pPr>
      <w:r>
        <w:rPr>
          <w:rFonts w:hint="eastAsia"/>
          <w:szCs w:val="22"/>
        </w:rPr>
        <w:t>第三条  双方责任与义务</w:t>
      </w:r>
    </w:p>
    <w:p>
      <w:pPr>
        <w:jc w:val="center"/>
        <w:rPr>
          <w:szCs w:val="22"/>
        </w:rPr>
      </w:pPr>
      <w:r>
        <w:rPr>
          <w:szCs w:val="22"/>
        </w:rPr>
        <w:t>Tanggung jawab dan kewajiban kedua belah pihak</w:t>
      </w:r>
    </w:p>
    <w:p>
      <w:pPr>
        <w:rPr>
          <w:szCs w:val="21"/>
        </w:rPr>
      </w:pPr>
    </w:p>
    <w:p>
      <w:pPr>
        <w:rPr>
          <w:szCs w:val="22"/>
        </w:rPr>
      </w:pPr>
      <w:r>
        <w:rPr>
          <w:rFonts w:hint="eastAsia"/>
          <w:szCs w:val="22"/>
        </w:rPr>
        <w:t>1</w:t>
      </w:r>
      <w:r>
        <w:rPr>
          <w:szCs w:val="22"/>
        </w:rPr>
        <w:t xml:space="preserve">. </w:t>
      </w:r>
      <w:r>
        <w:rPr>
          <w:rFonts w:hint="eastAsia"/>
          <w:szCs w:val="22"/>
        </w:rPr>
        <w:t>出租方的责任和义务</w:t>
      </w:r>
    </w:p>
    <w:p>
      <w:pPr>
        <w:rPr>
          <w:szCs w:val="22"/>
        </w:rPr>
      </w:pPr>
      <w:r>
        <w:rPr>
          <w:szCs w:val="22"/>
        </w:rPr>
        <w:t>Kewajiban dan kewajiban Pemilik Alat</w:t>
      </w:r>
    </w:p>
    <w:p>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pPr>
        <w:rPr>
          <w:szCs w:val="22"/>
        </w:rPr>
      </w:pPr>
      <w:r>
        <w:rPr>
          <w:rFonts w:hint="eastAsia"/>
          <w:szCs w:val="22"/>
        </w:rPr>
        <w:t>2）按合同约定配备合格的操作人员、维护人员，要求操作人员技术熟练，如因操作人员不熟练导致更换操作人员期间的停机费用由出租方承担。</w:t>
      </w:r>
    </w:p>
    <w:p>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pPr>
        <w:rPr>
          <w:szCs w:val="22"/>
        </w:rPr>
      </w:pPr>
      <w:r>
        <w:rPr>
          <w:rFonts w:hint="eastAsia"/>
          <w:szCs w:val="22"/>
        </w:rPr>
        <w:t>3）服从承租方现场管理人员的工作安排，加班必须随叫随到。</w:t>
      </w:r>
    </w:p>
    <w:p>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pPr>
        <w:rPr>
          <w:szCs w:val="22"/>
        </w:rPr>
      </w:pPr>
      <w:r>
        <w:rPr>
          <w:rFonts w:hint="eastAsia"/>
          <w:szCs w:val="22"/>
        </w:rPr>
        <w:t>4）按约定配备随车灭火器、报警灯等安全装置。</w:t>
      </w:r>
    </w:p>
    <w:p>
      <w:pPr>
        <w:rPr>
          <w:szCs w:val="22"/>
        </w:rPr>
      </w:pPr>
      <w:r>
        <w:rPr>
          <w:szCs w:val="22"/>
        </w:rPr>
        <w:t>4</w:t>
      </w:r>
      <w:r>
        <w:rPr>
          <w:rFonts w:hint="eastAsia"/>
          <w:szCs w:val="22"/>
        </w:rPr>
        <w:t>）</w:t>
      </w:r>
      <w:r>
        <w:rPr>
          <w:szCs w:val="22"/>
        </w:rPr>
        <w:t>Alat pemadam kebakaran dan lampu alaram harus dilengkapi pada alat berat sesuai dengan kontrak.</w:t>
      </w:r>
    </w:p>
    <w:p>
      <w:pPr>
        <w:rPr>
          <w:szCs w:val="22"/>
        </w:rPr>
      </w:pPr>
      <w:r>
        <w:rPr>
          <w:rFonts w:hint="eastAsia"/>
          <w:szCs w:val="22"/>
        </w:rPr>
        <w:t>5）负责自有设备操作人员、维修人员的工资、人身意外险、个人劳保防护等费用。</w:t>
      </w:r>
    </w:p>
    <w:p>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pPr>
        <w:rPr>
          <w:szCs w:val="22"/>
        </w:rPr>
      </w:pPr>
      <w:r>
        <w:rPr>
          <w:szCs w:val="22"/>
        </w:rPr>
        <w:t>6</w:t>
      </w:r>
      <w:r>
        <w:rPr>
          <w:rFonts w:hint="eastAsia"/>
          <w:szCs w:val="22"/>
        </w:rPr>
        <w:t>）按时并足额支付操作及维修人员工资。</w:t>
      </w:r>
    </w:p>
    <w:p>
      <w:pPr>
        <w:rPr>
          <w:szCs w:val="22"/>
        </w:rPr>
      </w:pPr>
      <w:r>
        <w:rPr>
          <w:szCs w:val="22"/>
        </w:rPr>
        <w:t>6</w:t>
      </w:r>
      <w:r>
        <w:rPr>
          <w:rFonts w:hint="eastAsia"/>
          <w:szCs w:val="22"/>
        </w:rPr>
        <w:t>）</w:t>
      </w:r>
      <w:r>
        <w:rPr>
          <w:szCs w:val="22"/>
        </w:rPr>
        <w:t>Membayar upah operator dan personel perawatan tepat waktu dan penuh.</w:t>
      </w:r>
    </w:p>
    <w:p>
      <w:pPr>
        <w:rPr>
          <w:szCs w:val="22"/>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7）负责设备维修、保养和故障的处理等工作，确保机械技术状态完好。设备的性能要满足现场的要求，保证能正常使用，每台设备可满足24小时作业。如设备发生故障，及时到达现场维修或更换，小故障应在2</w:t>
      </w:r>
      <w:r>
        <w:rPr>
          <w:szCs w:val="22"/>
        </w:rPr>
        <w:t>4</w:t>
      </w:r>
      <w:r>
        <w:rPr>
          <w:rFonts w:hint="eastAsia"/>
          <w:szCs w:val="22"/>
        </w:rPr>
        <w:t>小时内排除，较大故障应在72小时内排除，并承担其维修过程的一切费用。</w:t>
      </w:r>
    </w:p>
    <w:p>
      <w:pPr>
        <w:rPr>
          <w:szCs w:val="22"/>
        </w:rPr>
      </w:pPr>
      <w:r>
        <w:rPr>
          <w:szCs w:val="22"/>
        </w:rPr>
        <w:t>7</w:t>
      </w:r>
      <w:r>
        <w:rPr>
          <w:rFonts w:hint="eastAsia"/>
          <w:szCs w:val="22"/>
        </w:rPr>
        <w:t>）</w:t>
      </w:r>
      <w:r>
        <w:rPr>
          <w:szCs w:val="22"/>
        </w:rPr>
        <w:t>Bertanggung jawab untuk perbaikan, pemeliharaan, dan memecahkan penyelesaian masalah peralatan untuk memastikan status mekanik dan teknis dalam kondisi baik. Kinerja peralatan harus memenuhi persyaratan penyewa dan memastikan penggunaan normal. Jika peralatan ada kesalahan, Pemilik Alat harus tiba di lokasi tepat waktu untuk pemeliharaan atau penggantian, kesalahan kecil harus dihilangkan dalam waktu 24 jam, kesalahan besar harus dihilangkan dalam waktu 72 jam/(3 hari), dan menanggung biaya.</w:t>
      </w:r>
    </w:p>
    <w:p>
      <w:pPr>
        <w:rPr>
          <w:szCs w:val="22"/>
        </w:rPr>
      </w:pPr>
      <w:r>
        <w:rPr>
          <w:szCs w:val="22"/>
        </w:rPr>
        <w:t>8</w:t>
      </w:r>
      <w:r>
        <w:rPr>
          <w:rFonts w:hint="eastAsia"/>
          <w:szCs w:val="22"/>
        </w:rPr>
        <w:t>）如租赁设备需要在当地主管部门办理检验许可的，出租方负责办理检验许可手续，并承担其办理检验过程的</w:t>
      </w:r>
    </w:p>
    <w:p>
      <w:pPr>
        <w:rPr>
          <w:szCs w:val="22"/>
        </w:rPr>
      </w:pPr>
      <w:r>
        <w:rPr>
          <w:rFonts w:hint="eastAsia"/>
          <w:szCs w:val="22"/>
        </w:rPr>
        <w:t>一切费用。</w:t>
      </w:r>
    </w:p>
    <w:p>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pPr>
        <w:rPr>
          <w:szCs w:val="22"/>
        </w:rPr>
      </w:pPr>
      <w:r>
        <w:rPr>
          <w:szCs w:val="22"/>
        </w:rPr>
        <w:t>9</w:t>
      </w:r>
      <w:r>
        <w:rPr>
          <w:rFonts w:hint="eastAsia"/>
          <w:szCs w:val="22"/>
        </w:rPr>
        <w:t>）按承租方通知要求，及时组织设备进退场。</w:t>
      </w:r>
    </w:p>
    <w:p>
      <w:r>
        <w:rPr>
          <w:szCs w:val="22"/>
        </w:rPr>
        <w:t>9</w:t>
      </w:r>
      <w:r>
        <w:rPr>
          <w:rFonts w:hint="eastAsia"/>
          <w:szCs w:val="22"/>
        </w:rPr>
        <w:t>）</w:t>
      </w:r>
      <w:r>
        <w:rPr>
          <w:szCs w:val="22"/>
        </w:rPr>
        <w:t>Sesuai dengan pemberitahuan Penyewa, Atur Mob-Demob peralatan tepat waktu.</w:t>
      </w:r>
    </w:p>
    <w:p>
      <w:pPr>
        <w:rPr>
          <w:szCs w:val="22"/>
        </w:rPr>
      </w:pPr>
      <w:r>
        <w:rPr>
          <w:rFonts w:hint="eastAsia"/>
          <w:szCs w:val="22"/>
        </w:rPr>
        <w:t>2</w:t>
      </w:r>
      <w:r>
        <w:rPr>
          <w:szCs w:val="22"/>
        </w:rPr>
        <w:t xml:space="preserve">. </w:t>
      </w:r>
      <w:r>
        <w:rPr>
          <w:rFonts w:hint="eastAsia"/>
          <w:szCs w:val="22"/>
        </w:rPr>
        <w:t>承租方的责任和义务</w:t>
      </w:r>
    </w:p>
    <w:p>
      <w:pPr>
        <w:rPr>
          <w:szCs w:val="22"/>
        </w:rPr>
      </w:pPr>
      <w:r>
        <w:rPr>
          <w:szCs w:val="22"/>
        </w:rPr>
        <w:t>Tanggung jawab dan kewajiban Penyewa</w:t>
      </w:r>
    </w:p>
    <w:p>
      <w:pPr>
        <w:rPr>
          <w:szCs w:val="22"/>
        </w:rPr>
      </w:pPr>
      <w:r>
        <w:rPr>
          <w:rFonts w:hint="eastAsia"/>
          <w:szCs w:val="22"/>
        </w:rPr>
        <w:t>1）负责设备工作条件的建立。</w:t>
      </w:r>
    </w:p>
    <w:p>
      <w:pPr>
        <w:rPr>
          <w:szCs w:val="22"/>
        </w:rPr>
      </w:pPr>
      <w:r>
        <w:rPr>
          <w:szCs w:val="22"/>
        </w:rPr>
        <w:t>1</w:t>
      </w:r>
      <w:r>
        <w:rPr>
          <w:rFonts w:hint="eastAsia"/>
          <w:szCs w:val="22"/>
        </w:rPr>
        <w:t>）</w:t>
      </w:r>
      <w:r>
        <w:rPr>
          <w:szCs w:val="22"/>
        </w:rPr>
        <w:t>Bertanggung jawab atas penetapan kondisi kerja peralatan.</w:t>
      </w:r>
    </w:p>
    <w:p>
      <w:pPr>
        <w:rPr>
          <w:szCs w:val="22"/>
        </w:rPr>
      </w:pPr>
      <w:r>
        <w:rPr>
          <w:rFonts w:hint="eastAsia"/>
          <w:szCs w:val="22"/>
        </w:rPr>
        <w:t>2）按合同支付租赁款。</w:t>
      </w:r>
    </w:p>
    <w:p>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pPr>
        <w:rPr>
          <w:szCs w:val="22"/>
        </w:rPr>
      </w:pPr>
      <w:r>
        <w:rPr>
          <w:rFonts w:hint="eastAsia"/>
          <w:szCs w:val="22"/>
        </w:rPr>
        <w:t>3）</w:t>
      </w:r>
      <w:r>
        <w:rPr>
          <w:rFonts w:hint="eastAsia" w:ascii="Calibri" w:hAnsi="Calibri" w:cs="Calibri"/>
          <w:szCs w:val="22"/>
        </w:rPr>
        <w:t>当</w:t>
      </w:r>
      <w:r>
        <w:rPr>
          <w:rFonts w:hint="eastAsia" w:ascii="Calibri" w:hAnsi="Calibri" w:cs="Calibri"/>
          <w:szCs w:val="22"/>
          <w:lang w:eastAsia="zh-Hans"/>
        </w:rPr>
        <w:t>设备</w:t>
      </w:r>
      <w:r>
        <w:rPr>
          <w:rFonts w:hint="eastAsia" w:ascii="Calibri" w:hAnsi="Calibri" w:cs="Calibri"/>
          <w:szCs w:val="22"/>
        </w:rPr>
        <w:t>不使用时，</w:t>
      </w:r>
      <w:r>
        <w:rPr>
          <w:rFonts w:hint="eastAsia" w:ascii="Calibri" w:hAnsi="Calibri" w:cs="Calibri"/>
          <w:szCs w:val="22"/>
          <w:lang w:eastAsia="zh-Hans"/>
        </w:rPr>
        <w:t>出租方</w:t>
      </w:r>
      <w:r>
        <w:rPr>
          <w:rFonts w:hint="eastAsia" w:ascii="Calibri" w:hAnsi="Calibri" w:cs="Calibri"/>
          <w:szCs w:val="22"/>
        </w:rPr>
        <w:t>负责发动机舱的安全和锁定。</w:t>
      </w:r>
      <w:r>
        <w:rPr>
          <w:rFonts w:hint="eastAsia" w:ascii="Calibri" w:hAnsi="Calibri" w:cs="Calibri"/>
          <w:szCs w:val="22"/>
          <w:lang w:eastAsia="zh-Hans"/>
        </w:rPr>
        <w:t>承租方有义务对设备</w:t>
      </w:r>
      <w:r>
        <w:rPr>
          <w:rFonts w:hint="eastAsia" w:ascii="Calibri" w:hAnsi="Calibri" w:cs="Calibri"/>
          <w:szCs w:val="22"/>
        </w:rPr>
        <w:t>整体提供安全保障，</w:t>
      </w:r>
      <w:r>
        <w:rPr>
          <w:rFonts w:hint="eastAsia" w:ascii="Calibri" w:hAnsi="Calibri" w:cs="Calibri"/>
          <w:szCs w:val="22"/>
          <w:lang w:eastAsia="zh-Hans"/>
        </w:rPr>
        <w:t>操作手</w:t>
      </w:r>
      <w:r>
        <w:rPr>
          <w:rFonts w:hint="eastAsia" w:ascii="Calibri" w:hAnsi="Calibri" w:cs="Calibri"/>
          <w:szCs w:val="22"/>
        </w:rPr>
        <w:t>必须</w:t>
      </w:r>
      <w:r>
        <w:rPr>
          <w:rFonts w:hint="eastAsia" w:ascii="Calibri" w:hAnsi="Calibri" w:cs="Calibri"/>
          <w:szCs w:val="22"/>
          <w:lang w:eastAsia="zh-Hans"/>
        </w:rPr>
        <w:t>做好驾驶室上锁。</w:t>
      </w:r>
      <w:r>
        <w:rPr>
          <w:rFonts w:hint="eastAsia"/>
          <w:szCs w:val="22"/>
        </w:rPr>
        <w:t>防止设备被盗窃或人为损坏，确保设备的完整。</w:t>
      </w:r>
    </w:p>
    <w:p>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pPr>
        <w:rPr>
          <w:szCs w:val="22"/>
        </w:rPr>
      </w:pPr>
      <w:r>
        <w:rPr>
          <w:rFonts w:hint="eastAsia"/>
          <w:szCs w:val="22"/>
        </w:rPr>
        <w:t>4）提供优质燃料，并符合良好使用标准。</w:t>
      </w:r>
    </w:p>
    <w:p>
      <w:pPr>
        <w:rPr>
          <w:szCs w:val="22"/>
        </w:rPr>
      </w:pPr>
      <w:r>
        <w:rPr>
          <w:rFonts w:hint="eastAsia"/>
          <w:szCs w:val="22"/>
        </w:rPr>
        <w:t>4）</w:t>
      </w:r>
      <w:r>
        <w:rPr>
          <w:szCs w:val="22"/>
        </w:rPr>
        <w:t>Menyediakan bahan bakar berkualitas baik dan sesuai dengan standar pemakaian yang baik dan menanggung biayanya</w:t>
      </w:r>
    </w:p>
    <w:p>
      <w:pPr>
        <w:rPr>
          <w:szCs w:val="22"/>
        </w:rPr>
      </w:pPr>
      <w:r>
        <w:rPr>
          <w:rFonts w:hint="eastAsia"/>
          <w:szCs w:val="22"/>
        </w:rPr>
        <w:t>5）提供使用现场所需的各种许可证。</w:t>
      </w:r>
    </w:p>
    <w:p>
      <w:pPr>
        <w:rPr>
          <w:szCs w:val="22"/>
        </w:rPr>
      </w:pPr>
      <w:r>
        <w:rPr>
          <w:rFonts w:hint="eastAsia"/>
          <w:szCs w:val="22"/>
        </w:rPr>
        <w:t>5）</w:t>
      </w:r>
      <w:r>
        <w:rPr>
          <w:szCs w:val="22"/>
        </w:rPr>
        <w:t>Izin kerja dan segala macam perizinan yang dibutuhkan di lokasi</w:t>
      </w:r>
    </w:p>
    <w:p>
      <w:pPr>
        <w:jc w:val="center"/>
        <w:rPr>
          <w:szCs w:val="22"/>
        </w:rPr>
      </w:pPr>
    </w:p>
    <w:p>
      <w:pPr>
        <w:jc w:val="center"/>
        <w:rPr>
          <w:szCs w:val="22"/>
        </w:rPr>
      </w:pPr>
      <w:r>
        <w:rPr>
          <w:rFonts w:hint="eastAsia"/>
          <w:szCs w:val="22"/>
        </w:rPr>
        <w:t>第四条</w:t>
      </w:r>
      <w:r>
        <w:rPr>
          <w:szCs w:val="22"/>
        </w:rPr>
        <w:t xml:space="preserve">  </w:t>
      </w:r>
      <w:r>
        <w:rPr>
          <w:rFonts w:hint="eastAsia"/>
          <w:szCs w:val="22"/>
        </w:rPr>
        <w:t>租赁时间计算、起止日确认</w:t>
      </w:r>
    </w:p>
    <w:p>
      <w:pPr>
        <w:jc w:val="center"/>
        <w:rPr>
          <w:szCs w:val="22"/>
        </w:rPr>
      </w:pPr>
      <w:r>
        <w:rPr>
          <w:szCs w:val="22"/>
        </w:rPr>
        <w:t>Perhitungan waktu sewa, konfirmasi tanggal mulai dan berakhir.</w:t>
      </w:r>
    </w:p>
    <w:p>
      <w:pPr>
        <w:rPr>
          <w:szCs w:val="21"/>
        </w:rPr>
      </w:pPr>
    </w:p>
    <w:p>
      <w:pPr>
        <w:rPr>
          <w:szCs w:val="22"/>
        </w:rPr>
      </w:pPr>
      <w:r>
        <w:rPr>
          <w:rFonts w:hint="eastAsia"/>
          <w:szCs w:val="22"/>
        </w:rPr>
        <w:t>1</w:t>
      </w:r>
      <w:r>
        <w:rPr>
          <w:szCs w:val="22"/>
        </w:rPr>
        <w:t xml:space="preserve">. </w:t>
      </w:r>
      <w:r>
        <w:rPr>
          <w:rFonts w:hint="eastAsia"/>
          <w:szCs w:val="22"/>
        </w:rPr>
        <w:t>租赁时间计算：汽车吊的租赁费按每月计算，不足一个月按天计算租赁费，结算价为日平均单价乘以租用时间；</w:t>
      </w:r>
      <w:r>
        <w:rPr>
          <w:rFonts w:hint="eastAsia"/>
          <w:color w:val="auto"/>
          <w:szCs w:val="22"/>
        </w:rPr>
        <w:t>每月工作时间至少为270小时，不满270小时的按270小时结算，结算价为单价乘以租用时间。设备故障、司机不服从指挥导致停机、出租方拖欠司机工资导致停机等出租方的原因造成不能工作。出租方应保证设备每月270小时正常使用，如果达不到270小时，承租方</w:t>
      </w:r>
      <w:r>
        <w:rPr>
          <w:rFonts w:hint="eastAsia"/>
          <w:szCs w:val="22"/>
        </w:rPr>
        <w:t>有权利要求出租方更换设备，设备未工作期间，则每小时扣除500,000Rp。工作开始的第一个月和最后一个月按实际使用时间结算。</w:t>
      </w:r>
    </w:p>
    <w:p>
      <w:pPr>
        <w:rPr>
          <w:szCs w:val="22"/>
        </w:rPr>
      </w:pPr>
      <w:r>
        <w:rPr>
          <w:szCs w:val="22"/>
        </w:rPr>
        <w:t>1.</w:t>
      </w:r>
      <w:r>
        <w:rPr>
          <w:rFonts w:hint="eastAsia"/>
          <w:szCs w:val="22"/>
        </w:rPr>
        <w:t>Biaya sewa telescopic arm crawler crane dan truck crane dihitung setiap bulan, dan biaya sewa dihitung harian selama kurang dari satu bulan.Harga penyelesaiannya adalah harga satuan rata-rata harian dikalikan waktu sewa; Biaya sewa truk flatbed dan dump truck roda delapan belakang dihitung setiap bulan, jam kerja bulanan paling sedikit 2</w:t>
      </w:r>
      <w:r>
        <w:rPr>
          <w:rFonts w:hint="eastAsia"/>
          <w:szCs w:val="22"/>
          <w:lang w:val="en-US" w:eastAsia="zh-CN"/>
        </w:rPr>
        <w:t>7</w:t>
      </w:r>
      <w:r>
        <w:rPr>
          <w:rFonts w:hint="eastAsia"/>
          <w:szCs w:val="22"/>
        </w:rPr>
        <w:t>0 jam, bila jam kerja kurang dari 2</w:t>
      </w:r>
      <w:r>
        <w:rPr>
          <w:rFonts w:hint="eastAsia"/>
          <w:szCs w:val="22"/>
          <w:lang w:val="en-US" w:eastAsia="zh-CN"/>
        </w:rPr>
        <w:t>7</w:t>
      </w:r>
      <w:r>
        <w:rPr>
          <w:rFonts w:hint="eastAsia"/>
          <w:szCs w:val="22"/>
        </w:rPr>
        <w:t>0 jam maka pelunasannya 2</w:t>
      </w:r>
      <w:r>
        <w:rPr>
          <w:rFonts w:hint="eastAsia"/>
          <w:szCs w:val="22"/>
          <w:lang w:val="en-US" w:eastAsia="zh-CN"/>
        </w:rPr>
        <w:t>7</w:t>
      </w:r>
      <w:r>
        <w:rPr>
          <w:rFonts w:hint="eastAsia"/>
          <w:szCs w:val="22"/>
        </w:rPr>
        <w:t>0 jam. harga satuan dikalikan waktu sewa. Kegagalan peralatan, ketidakpatuhan pengemudi terhadap instruksi yang menyebabkan penutupan, tunggakan upah lessor kepada pengemudi dan alasan lain yang menyebabkan penutupan karena ketidakmampuan lessor untuk bekerja. Lessor harus memastikan bahwa peralatan tersebut digunakan secara normal selama 26 hari dalam sebulan. Jika 26 hari tersebut tidak tercapai maka penyewa berhak meminta kepada lessor untuk mengganti peralatan tersebut. Selama peralatan tidak berfungsi, Rp 500.000 akan dipotong per jam. Bulan pertama dan bulan terakhir pengerjaan akan diselesaikan berdasarkan waktu pemakaian sebenarnya..</w:t>
      </w:r>
    </w:p>
    <w:p>
      <w:pPr>
        <w:rPr>
          <w:szCs w:val="22"/>
        </w:rPr>
      </w:pPr>
      <w:r>
        <w:rPr>
          <w:rFonts w:hint="eastAsia"/>
          <w:szCs w:val="22"/>
        </w:rPr>
        <w:t>2</w:t>
      </w:r>
      <w:r>
        <w:rPr>
          <w:szCs w:val="22"/>
        </w:rPr>
        <w:t xml:space="preserve">. </w:t>
      </w:r>
      <w:r>
        <w:rPr>
          <w:rFonts w:hint="eastAsia"/>
          <w:szCs w:val="22"/>
        </w:rPr>
        <w:t>租赁计费起止时间</w:t>
      </w:r>
    </w:p>
    <w:p>
      <w:pPr>
        <w:rPr>
          <w:szCs w:val="22"/>
        </w:rPr>
      </w:pPr>
      <w:r>
        <w:rPr>
          <w:szCs w:val="22"/>
        </w:rPr>
        <w:t>2. Awal dan akhir perhitungan biaya sewa</w:t>
      </w:r>
    </w:p>
    <w:p>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pPr>
        <w:rPr>
          <w:szCs w:val="22"/>
        </w:rPr>
      </w:pPr>
      <w:r>
        <w:rPr>
          <w:szCs w:val="22"/>
        </w:rPr>
        <w:t>2</w:t>
      </w:r>
      <w:r>
        <w:rPr>
          <w:rFonts w:hint="eastAsia"/>
          <w:szCs w:val="22"/>
        </w:rPr>
        <w:t>）退租时，承租方提前7天须向出租方电话通知或书面通知，出租方接到电话或书面函后，按承租方要求组织设备退场，通知退租时间为租赁费计算截止时间。</w:t>
      </w:r>
    </w:p>
    <w:p>
      <w:pPr>
        <w:rPr>
          <w:szCs w:val="22"/>
        </w:rPr>
      </w:pPr>
      <w:r>
        <w:rPr>
          <w:szCs w:val="22"/>
        </w:rPr>
        <w:t>2</w:t>
      </w:r>
      <w:r>
        <w:rPr>
          <w:rFonts w:hint="eastAsia"/>
          <w:szCs w:val="22"/>
        </w:rPr>
        <w:t>）</w:t>
      </w:r>
      <w:r>
        <w:rPr>
          <w:szCs w:val="22"/>
        </w:rPr>
        <w:t xml:space="preserve">Pada saat </w:t>
      </w:r>
      <w:r>
        <w:rPr>
          <w:rFonts w:hint="eastAsia"/>
          <w:szCs w:val="22"/>
        </w:rPr>
        <w:t>d</w:t>
      </w:r>
      <w:r>
        <w:rPr>
          <w:szCs w:val="22"/>
        </w:rPr>
        <w:t>emobilization sewa, Penyewa harus memberi tahu Pemilik Alat melalui telepon atau pemberitahuan tertulis 7 hari sebelumnya. Setelah menerima telepon atau surat tertulis, Pemilik Alat akan mengatur peralatan untuk keluar sesuai dengan persyaratan Penyewa, dan waktu untuk pemberitahuan waktu penyewaan kembali akan menjadi waktu penutupan untuk perhitungan biaya sewa.</w:t>
      </w:r>
    </w:p>
    <w:p>
      <w:pPr>
        <w:widowControl/>
        <w:jc w:val="left"/>
        <w:rPr>
          <w:szCs w:val="22"/>
        </w:rPr>
      </w:pPr>
    </w:p>
    <w:p>
      <w:pPr>
        <w:jc w:val="center"/>
        <w:rPr>
          <w:szCs w:val="22"/>
        </w:rPr>
      </w:pPr>
      <w:r>
        <w:rPr>
          <w:rFonts w:hint="eastAsia"/>
          <w:szCs w:val="22"/>
        </w:rPr>
        <w:t>第五条  结算与支付</w:t>
      </w:r>
    </w:p>
    <w:p>
      <w:pPr>
        <w:jc w:val="center"/>
        <w:rPr>
          <w:szCs w:val="22"/>
        </w:rPr>
      </w:pPr>
      <w:r>
        <w:rPr>
          <w:szCs w:val="22"/>
        </w:rPr>
        <w:t>Penyelesaian dan pembayaran</w:t>
      </w:r>
    </w:p>
    <w:p>
      <w:pPr>
        <w:rPr>
          <w:szCs w:val="21"/>
        </w:rPr>
      </w:pPr>
    </w:p>
    <w:p>
      <w:pPr>
        <w:rPr>
          <w:color w:val="auto"/>
          <w:szCs w:val="22"/>
        </w:rPr>
      </w:pPr>
      <w:r>
        <w:rPr>
          <w:rFonts w:hint="eastAsia"/>
          <w:szCs w:val="22"/>
        </w:rPr>
        <w:t>1.结算：每月结算一次，月结支付100%。承租方按单价表及实际租赁时间编制租金结算单，结算单经双方确认无误后签字，出租方5日内开具符合印尼法规的增值税专用发票，承租方办理付款手续。</w:t>
      </w:r>
      <w:r>
        <w:rPr>
          <w:rFonts w:hint="eastAsia"/>
          <w:color w:val="auto"/>
          <w:szCs w:val="22"/>
        </w:rPr>
        <w:t>出租方提供的增值税发票种类：增值税专用发票，税率11%。</w:t>
      </w:r>
    </w:p>
    <w:p>
      <w:pPr>
        <w:rPr>
          <w:szCs w:val="22"/>
        </w:rPr>
      </w:pPr>
      <w:r>
        <w:rPr>
          <w:szCs w:val="22"/>
        </w:rPr>
        <w:t>1.</w:t>
      </w:r>
      <w:r>
        <w:rPr>
          <w:rFonts w:hint="eastAsia"/>
          <w:szCs w:val="22"/>
        </w:rPr>
        <w:t>Penyelesaian: Penyelesaian dilakukan sebulan sekali, dan 100% dari pelunasan bulanan dibayarkan. Penyewa menyiapkan formulir penyelesaian sewa berdasarkan daftar harga satuan dan waktu sewa sebenarnya. Formulir penyelesaian ditandatangani oleh kedua belah pihak setelah konfirmasi. Penyewa menerbitkan faktur pajak pertambahan nilai khusus yang sesuai dengan peraturan Indonesia dalam waktu 5 hari, dan penyewa menjalani prosedur pembayaran. Jenis faktur PPN yang disediakan oleh lessor: faktur PPN khusus, tarif pajak 11%</w:t>
      </w:r>
      <w:r>
        <w:rPr>
          <w:rFonts w:hint="eastAsia"/>
          <w:szCs w:val="22"/>
          <w:lang w:val="en-US" w:eastAsia="zh-CN"/>
        </w:rPr>
        <w:t>.</w:t>
      </w:r>
    </w:p>
    <w:p>
      <w:pPr>
        <w:rPr>
          <w:szCs w:val="22"/>
        </w:rPr>
      </w:pPr>
      <w:r>
        <w:rPr>
          <w:rFonts w:hint="eastAsia"/>
          <w:szCs w:val="22"/>
        </w:rPr>
        <w:t>2.增值税开票信息：</w:t>
      </w:r>
    </w:p>
    <w:p>
      <w:pPr>
        <w:rPr>
          <w:szCs w:val="22"/>
        </w:rPr>
      </w:pPr>
      <w:r>
        <w:rPr>
          <w:szCs w:val="22"/>
        </w:rPr>
        <w:t>2. Informasi faktur PPN:</w:t>
      </w:r>
    </w:p>
    <w:p>
      <w:pPr>
        <w:rPr>
          <w:szCs w:val="22"/>
        </w:rPr>
      </w:pPr>
      <w:r>
        <w:rPr>
          <w:rFonts w:hint="eastAsia"/>
          <w:szCs w:val="22"/>
        </w:rPr>
        <w:t>承租方增值税发票开票信息：</w:t>
      </w:r>
    </w:p>
    <w:p>
      <w:pPr>
        <w:rPr>
          <w:szCs w:val="22"/>
        </w:rPr>
      </w:pPr>
      <w:r>
        <w:rPr>
          <w:szCs w:val="22"/>
        </w:rPr>
        <w:t>Informasi penagihan faktur PPN Penyewa:</w:t>
      </w:r>
    </w:p>
    <w:p>
      <w:pPr>
        <w:rPr>
          <w:szCs w:val="22"/>
        </w:rPr>
      </w:pPr>
      <w:r>
        <w:rPr>
          <w:rFonts w:hint="eastAsia"/>
          <w:szCs w:val="22"/>
        </w:rPr>
        <w:t>单位名称：十五冶建筑工程（印尼）有限公司</w:t>
      </w:r>
    </w:p>
    <w:p>
      <w:pPr>
        <w:rPr>
          <w:szCs w:val="22"/>
        </w:rPr>
      </w:pPr>
      <w:r>
        <w:rPr>
          <w:szCs w:val="22"/>
        </w:rPr>
        <w:t xml:space="preserve">Nama perusahaan:PT. MCC15  Engineering  and  Construction.  </w:t>
      </w:r>
    </w:p>
    <w:p>
      <w:pPr>
        <w:rPr>
          <w:szCs w:val="22"/>
        </w:rPr>
      </w:pPr>
      <w:r>
        <w:rPr>
          <w:rFonts w:hint="eastAsia"/>
          <w:szCs w:val="22"/>
        </w:rPr>
        <w:t>纳税人识别号：</w:t>
      </w:r>
      <w:r>
        <w:rPr>
          <w:szCs w:val="22"/>
        </w:rPr>
        <w:t>80.641.618.6-044.000</w:t>
      </w:r>
    </w:p>
    <w:p>
      <w:pPr>
        <w:rPr>
          <w:szCs w:val="22"/>
        </w:rPr>
      </w:pPr>
      <w:r>
        <w:rPr>
          <w:szCs w:val="22"/>
        </w:rPr>
        <w:t>Nomor Identifikasi Wajib Pajak: 80.641.618.6-044.000</w:t>
      </w:r>
    </w:p>
    <w:p>
      <w:pPr>
        <w:rPr>
          <w:szCs w:val="22"/>
        </w:rPr>
      </w:pPr>
      <w:r>
        <w:rPr>
          <w:rFonts w:hint="eastAsia"/>
          <w:szCs w:val="22"/>
        </w:rPr>
        <w:t xml:space="preserve">注册地址：GOLD COAST OFFICE TOWER EIFFEL LT.18 UNIT KL, KAMAL MUARA, PENJARINGAN, KOTA ADM. JAKARTA UTARA, DKI JAKARTA, 14470  </w:t>
      </w:r>
    </w:p>
    <w:p>
      <w:pPr>
        <w:rPr>
          <w:szCs w:val="22"/>
        </w:rPr>
      </w:pPr>
      <w:r>
        <w:rPr>
          <w:szCs w:val="22"/>
        </w:rPr>
        <w:t xml:space="preserve">Alamat terdaftar: </w:t>
      </w:r>
      <w:r>
        <w:rPr>
          <w:rFonts w:hint="eastAsia"/>
          <w:szCs w:val="22"/>
        </w:rPr>
        <w:t>GOLD COAST OFFICE TOWER EIFFEL LT.18 UNIT KL, KAMAL MUARA, PENJARINGAN, KOTA ADM. JAKARTA UTARA, DKI JAKARTA, 14470</w:t>
      </w:r>
    </w:p>
    <w:p>
      <w:pPr>
        <w:rPr>
          <w:szCs w:val="22"/>
        </w:rPr>
      </w:pPr>
      <w:r>
        <w:rPr>
          <w:rFonts w:hint="eastAsia"/>
          <w:szCs w:val="22"/>
        </w:rPr>
        <w:t xml:space="preserve">通信地址：Gold Coast Office Eiffel Tower 18th Floor block KL, Jalan PantaiIndah Kapuk, RT6/RW2, Kamal Muara, Penjaringan, NorthJakarta.DKl Jakarta 14470    </w:t>
      </w:r>
    </w:p>
    <w:p>
      <w:pPr>
        <w:rPr>
          <w:szCs w:val="22"/>
        </w:rPr>
      </w:pPr>
      <w:r>
        <w:rPr>
          <w:szCs w:val="22"/>
        </w:rPr>
        <w:t xml:space="preserve">Alamat kontak: </w:t>
      </w:r>
      <w:r>
        <w:rPr>
          <w:rFonts w:hint="eastAsia"/>
          <w:szCs w:val="22"/>
        </w:rPr>
        <w:t>Gold Coast Office Eiffel Tower 18th Floor block KL, Jalan PantaiIndah Kapuk, RT6/RW2, Kamal Muara, Penjaringan, NorthJakarta.DKl Jakarta 14470</w:t>
      </w:r>
      <w:r>
        <w:rPr>
          <w:szCs w:val="22"/>
        </w:rPr>
        <w:t xml:space="preserve">                      </w:t>
      </w:r>
    </w:p>
    <w:p>
      <w:pPr>
        <w:rPr>
          <w:szCs w:val="22"/>
        </w:rPr>
      </w:pPr>
      <w:r>
        <w:rPr>
          <w:rFonts w:hint="eastAsia"/>
          <w:szCs w:val="22"/>
        </w:rPr>
        <w:t>电</w:t>
      </w:r>
      <w:r>
        <w:rPr>
          <w:szCs w:val="22"/>
        </w:rPr>
        <w:t xml:space="preserve"> </w:t>
      </w:r>
      <w:r>
        <w:rPr>
          <w:rFonts w:hint="eastAsia"/>
          <w:szCs w:val="22"/>
        </w:rPr>
        <w:t>话：</w:t>
      </w:r>
      <w:r>
        <w:rPr>
          <w:szCs w:val="22"/>
        </w:rPr>
        <w:t>021 62313078</w:t>
      </w:r>
      <w:r>
        <w:rPr>
          <w:rFonts w:hint="eastAsia"/>
          <w:szCs w:val="22"/>
        </w:rPr>
        <w:t xml:space="preserve">  </w:t>
      </w:r>
    </w:p>
    <w:p>
      <w:pPr>
        <w:rPr>
          <w:szCs w:val="22"/>
        </w:rPr>
      </w:pPr>
      <w:r>
        <w:rPr>
          <w:szCs w:val="22"/>
        </w:rPr>
        <w:t>Telepon</w:t>
      </w:r>
      <w:r>
        <w:rPr>
          <w:rFonts w:hint="eastAsia"/>
          <w:szCs w:val="22"/>
        </w:rPr>
        <w:t>：</w:t>
      </w:r>
      <w:r>
        <w:rPr>
          <w:szCs w:val="22"/>
        </w:rPr>
        <w:t>021 62313078</w:t>
      </w:r>
    </w:p>
    <w:p>
      <w:pPr>
        <w:rPr>
          <w:szCs w:val="22"/>
        </w:rPr>
      </w:pPr>
      <w:r>
        <w:rPr>
          <w:rFonts w:hint="eastAsia"/>
          <w:szCs w:val="22"/>
        </w:rPr>
        <w:t>开户行：</w:t>
      </w:r>
      <w:r>
        <w:rPr>
          <w:szCs w:val="22"/>
        </w:rPr>
        <w:t>Bank of China (HONG KONG) LIMITED</w:t>
      </w:r>
      <w:r>
        <w:rPr>
          <w:rFonts w:hint="eastAsia"/>
          <w:szCs w:val="22"/>
        </w:rPr>
        <w:t xml:space="preserve"> </w:t>
      </w:r>
      <w:r>
        <w:rPr>
          <w:szCs w:val="22"/>
        </w:rPr>
        <w:t xml:space="preserve">      </w:t>
      </w:r>
    </w:p>
    <w:p>
      <w:pPr>
        <w:rPr>
          <w:szCs w:val="22"/>
        </w:rPr>
      </w:pPr>
      <w:r>
        <w:rPr>
          <w:szCs w:val="22"/>
        </w:rPr>
        <w:t xml:space="preserve">Rekening bank: Bank of China (HONG KONG) LIMITED  </w:t>
      </w:r>
    </w:p>
    <w:p>
      <w:pPr>
        <w:rPr>
          <w:szCs w:val="22"/>
        </w:rPr>
      </w:pPr>
      <w:r>
        <w:rPr>
          <w:rFonts w:hint="eastAsia"/>
          <w:szCs w:val="22"/>
        </w:rPr>
        <w:t>账 号：</w:t>
      </w:r>
      <w:r>
        <w:rPr>
          <w:szCs w:val="22"/>
        </w:rPr>
        <w:t>1000 0090 0592 081</w:t>
      </w:r>
      <w:r>
        <w:rPr>
          <w:rFonts w:hint="eastAsia"/>
          <w:szCs w:val="22"/>
        </w:rPr>
        <w:t xml:space="preserve">  </w:t>
      </w:r>
    </w:p>
    <w:p>
      <w:pPr>
        <w:rPr>
          <w:szCs w:val="22"/>
        </w:rPr>
      </w:pPr>
      <w:r>
        <w:rPr>
          <w:szCs w:val="22"/>
        </w:rPr>
        <w:t xml:space="preserve">Nomor akun: 1000 0090 0592 081                        </w:t>
      </w:r>
    </w:p>
    <w:p>
      <w:pPr>
        <w:pStyle w:val="2"/>
      </w:pPr>
    </w:p>
    <w:p>
      <w:pPr>
        <w:rPr>
          <w:szCs w:val="22"/>
        </w:rPr>
      </w:pPr>
      <w:r>
        <w:rPr>
          <w:rFonts w:hint="eastAsia"/>
          <w:szCs w:val="22"/>
        </w:rPr>
        <w:t>出租方增值税发票开票信息：</w:t>
      </w:r>
    </w:p>
    <w:p>
      <w:pPr>
        <w:rPr>
          <w:szCs w:val="22"/>
        </w:rPr>
      </w:pPr>
      <w:r>
        <w:rPr>
          <w:rFonts w:hint="eastAsia"/>
          <w:szCs w:val="22"/>
        </w:rPr>
        <w:t xml:space="preserve">Informasi penagihan fektur PPN PemilikAlat: </w:t>
      </w:r>
    </w:p>
    <w:p>
      <w:pPr>
        <w:rPr>
          <w:szCs w:val="22"/>
        </w:rPr>
      </w:pPr>
      <w:r>
        <w:rPr>
          <w:rFonts w:hint="eastAsia"/>
          <w:szCs w:val="22"/>
        </w:rPr>
        <w:t>单位名称：</w:t>
      </w:r>
    </w:p>
    <w:p>
      <w:pPr>
        <w:rPr>
          <w:szCs w:val="22"/>
        </w:rPr>
      </w:pPr>
      <w:r>
        <w:rPr>
          <w:rFonts w:hint="eastAsia"/>
          <w:szCs w:val="22"/>
        </w:rPr>
        <w:t xml:space="preserve">Nama perusahaan: </w:t>
      </w:r>
    </w:p>
    <w:p>
      <w:pPr>
        <w:rPr>
          <w:szCs w:val="22"/>
        </w:rPr>
      </w:pPr>
      <w:r>
        <w:rPr>
          <w:rFonts w:hint="eastAsia"/>
          <w:szCs w:val="22"/>
        </w:rPr>
        <w:t>纳税人识别号：</w:t>
      </w:r>
    </w:p>
    <w:p>
      <w:pPr>
        <w:rPr>
          <w:szCs w:val="22"/>
        </w:rPr>
      </w:pPr>
      <w:r>
        <w:rPr>
          <w:rFonts w:hint="eastAsia"/>
          <w:szCs w:val="22"/>
        </w:rPr>
        <w:t>Nomor Identifikasi Wajib Pajak:</w:t>
      </w:r>
    </w:p>
    <w:p>
      <w:pPr>
        <w:rPr>
          <w:szCs w:val="22"/>
        </w:rPr>
      </w:pPr>
      <w:r>
        <w:rPr>
          <w:rFonts w:hint="eastAsia"/>
          <w:szCs w:val="22"/>
        </w:rPr>
        <w:t>注册地址(以营业执照为准):</w:t>
      </w:r>
    </w:p>
    <w:p>
      <w:pPr>
        <w:rPr>
          <w:szCs w:val="22"/>
        </w:rPr>
      </w:pPr>
      <w:r>
        <w:rPr>
          <w:rFonts w:hint="eastAsia"/>
          <w:szCs w:val="22"/>
        </w:rPr>
        <w:t xml:space="preserve">Alamat terdaftar: </w:t>
      </w:r>
    </w:p>
    <w:p>
      <w:pPr>
        <w:rPr>
          <w:szCs w:val="22"/>
        </w:rPr>
      </w:pPr>
      <w:r>
        <w:rPr>
          <w:rFonts w:hint="eastAsia"/>
          <w:szCs w:val="22"/>
        </w:rPr>
        <w:t xml:space="preserve">Alamat kontak: </w:t>
      </w:r>
    </w:p>
    <w:p>
      <w:pPr>
        <w:rPr>
          <w:szCs w:val="22"/>
        </w:rPr>
      </w:pPr>
      <w:r>
        <w:rPr>
          <w:rFonts w:hint="eastAsia"/>
          <w:szCs w:val="22"/>
        </w:rPr>
        <w:t xml:space="preserve">电话: </w:t>
      </w:r>
    </w:p>
    <w:p>
      <w:pPr>
        <w:rPr>
          <w:szCs w:val="22"/>
        </w:rPr>
      </w:pPr>
      <w:r>
        <w:rPr>
          <w:rFonts w:hint="eastAsia"/>
          <w:szCs w:val="22"/>
        </w:rPr>
        <w:t>Telepon:</w:t>
      </w:r>
    </w:p>
    <w:p>
      <w:pPr>
        <w:rPr>
          <w:szCs w:val="22"/>
        </w:rPr>
      </w:pPr>
      <w:r>
        <w:rPr>
          <w:rFonts w:hint="eastAsia"/>
          <w:szCs w:val="22"/>
        </w:rPr>
        <w:t>开户行：</w:t>
      </w:r>
    </w:p>
    <w:p>
      <w:pPr>
        <w:rPr>
          <w:szCs w:val="22"/>
        </w:rPr>
      </w:pPr>
      <w:r>
        <w:rPr>
          <w:rFonts w:hint="eastAsia"/>
          <w:szCs w:val="22"/>
        </w:rPr>
        <w:t>Rekening bank:</w:t>
      </w:r>
    </w:p>
    <w:p>
      <w:pPr>
        <w:rPr>
          <w:szCs w:val="22"/>
        </w:rPr>
      </w:pPr>
      <w:r>
        <w:rPr>
          <w:rFonts w:hint="eastAsia"/>
          <w:szCs w:val="22"/>
        </w:rPr>
        <w:t>账 号：</w:t>
      </w:r>
    </w:p>
    <w:p>
      <w:r>
        <w:rPr>
          <w:rFonts w:hint="eastAsia"/>
          <w:szCs w:val="22"/>
        </w:rPr>
        <w:t xml:space="preserve">Nomor akun: </w:t>
      </w:r>
    </w:p>
    <w:p>
      <w:pPr>
        <w:rPr>
          <w:szCs w:val="22"/>
        </w:rPr>
      </w:pPr>
      <w:r>
        <w:rPr>
          <w:rFonts w:hint="eastAsia"/>
          <w:szCs w:val="22"/>
        </w:rPr>
        <w:t xml:space="preserve">3.支付 </w:t>
      </w:r>
    </w:p>
    <w:p>
      <w:pPr>
        <w:rPr>
          <w:szCs w:val="22"/>
        </w:rPr>
      </w:pPr>
      <w:r>
        <w:rPr>
          <w:szCs w:val="22"/>
        </w:rPr>
        <w:t>3. Pembayaran</w:t>
      </w:r>
    </w:p>
    <w:p>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pPr>
        <w:rPr>
          <w:szCs w:val="22"/>
        </w:rPr>
      </w:pPr>
      <w:r>
        <w:rPr>
          <w:rFonts w:hint="eastAsia"/>
          <w:szCs w:val="22"/>
        </w:rPr>
        <w:t>2）</w:t>
      </w:r>
      <w:r>
        <w:rPr>
          <w:rFonts w:hint="eastAsia"/>
          <w:color w:val="auto"/>
          <w:szCs w:val="22"/>
        </w:rPr>
        <w:t>出租方必须开具当月租赁费全额的增值税发票，</w:t>
      </w:r>
      <w:r>
        <w:rPr>
          <w:rFonts w:hint="eastAsia"/>
          <w:szCs w:val="22"/>
        </w:rPr>
        <w:t xml:space="preserve">发票经承租方验证合格后方可支付。   </w:t>
      </w:r>
    </w:p>
    <w:p>
      <w:pPr>
        <w:rPr>
          <w:szCs w:val="22"/>
        </w:rPr>
      </w:pPr>
      <w:r>
        <w:rPr>
          <w:szCs w:val="22"/>
        </w:rPr>
        <w:t>2) Pemilik Alat harus mengeluarkan faktur pajak pertambahan nilai penuh untuk biaya sewa bulan berjalan, dan faktur hanya dapat dibayarkan setelah diverifikasi oleh Penyewa.</w:t>
      </w:r>
    </w:p>
    <w:p>
      <w:pPr>
        <w:rPr>
          <w:szCs w:val="22"/>
        </w:rPr>
      </w:pPr>
      <w:r>
        <w:rPr>
          <w:rFonts w:hint="eastAsia"/>
          <w:szCs w:val="22"/>
        </w:rPr>
        <w:t>3）支付最后一个月租赁费时，租赁设备已退场。</w:t>
      </w:r>
    </w:p>
    <w:p>
      <w:pPr>
        <w:rPr>
          <w:szCs w:val="22"/>
        </w:rPr>
      </w:pPr>
      <w:r>
        <w:rPr>
          <w:szCs w:val="22"/>
        </w:rPr>
        <w:t>3) Ketika biaya sewa bulan yang akhir sudah dibayarkan, peralatan sewaan telah di Demobilisasi.</w:t>
      </w:r>
    </w:p>
    <w:p>
      <w:pPr>
        <w:rPr>
          <w:color w:val="auto"/>
          <w:szCs w:val="22"/>
        </w:rPr>
      </w:pPr>
      <w:r>
        <w:rPr>
          <w:rFonts w:hint="eastAsia"/>
          <w:szCs w:val="22"/>
        </w:rPr>
        <w:t>4）支付方式：</w:t>
      </w:r>
      <w:r>
        <w:rPr>
          <w:rFonts w:hint="eastAsia"/>
          <w:color w:val="auto"/>
          <w:szCs w:val="22"/>
        </w:rPr>
        <w:t>银行现汇</w:t>
      </w:r>
    </w:p>
    <w:p>
      <w:pPr>
        <w:rPr>
          <w:szCs w:val="22"/>
        </w:rPr>
      </w:pPr>
      <w:r>
        <w:rPr>
          <w:szCs w:val="22"/>
        </w:rPr>
        <w:t>4) Metode Pembayaran : Transfer lewat bank</w:t>
      </w:r>
    </w:p>
    <w:p>
      <w:pPr>
        <w:jc w:val="both"/>
        <w:rPr>
          <w:szCs w:val="22"/>
        </w:rPr>
      </w:pPr>
    </w:p>
    <w:p>
      <w:pPr>
        <w:jc w:val="center"/>
        <w:rPr>
          <w:rFonts w:hint="eastAsia"/>
          <w:szCs w:val="22"/>
        </w:rPr>
      </w:pPr>
    </w:p>
    <w:p>
      <w:pPr>
        <w:jc w:val="center"/>
        <w:rPr>
          <w:szCs w:val="22"/>
        </w:rPr>
      </w:pPr>
      <w:r>
        <w:rPr>
          <w:rFonts w:hint="eastAsia"/>
          <w:szCs w:val="22"/>
        </w:rPr>
        <w:t>第六条  出租方违约责任</w:t>
      </w:r>
    </w:p>
    <w:p>
      <w:pPr>
        <w:jc w:val="center"/>
        <w:rPr>
          <w:szCs w:val="22"/>
        </w:rPr>
      </w:pPr>
      <w:r>
        <w:rPr>
          <w:szCs w:val="22"/>
        </w:rPr>
        <w:t>Kewajiban Pemilik Alat untuk pelanggaran kontrak</w:t>
      </w:r>
    </w:p>
    <w:p>
      <w:pPr>
        <w:rPr>
          <w:szCs w:val="21"/>
        </w:rPr>
      </w:pPr>
    </w:p>
    <w:p>
      <w:pPr>
        <w:rPr>
          <w:szCs w:val="22"/>
        </w:rPr>
      </w:pPr>
      <w:r>
        <w:rPr>
          <w:rFonts w:hint="eastAsia"/>
          <w:szCs w:val="22"/>
        </w:rPr>
        <w:t>1</w:t>
      </w:r>
      <w:r>
        <w:rPr>
          <w:szCs w:val="22"/>
        </w:rPr>
        <w:t xml:space="preserve">. </w:t>
      </w:r>
      <w:r>
        <w:rPr>
          <w:rFonts w:hint="eastAsia"/>
          <w:szCs w:val="22"/>
        </w:rPr>
        <w:t>票据开具要求及违约责任</w:t>
      </w:r>
    </w:p>
    <w:p>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pPr>
        <w:rPr>
          <w:szCs w:val="22"/>
        </w:rPr>
      </w:pPr>
      <w:r>
        <w:rPr>
          <w:szCs w:val="22"/>
        </w:rPr>
        <w:t>1. Persyaratan dan kewajiban penagihan atas pelanggaran kontrak</w:t>
      </w:r>
    </w:p>
    <w:p>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pPr>
        <w:rPr>
          <w:szCs w:val="22"/>
        </w:rPr>
      </w:pPr>
      <w:r>
        <w:rPr>
          <w:rFonts w:hint="eastAsia"/>
          <w:szCs w:val="22"/>
        </w:rPr>
        <w:t>2</w:t>
      </w:r>
      <w:r>
        <w:rPr>
          <w:szCs w:val="22"/>
        </w:rPr>
        <w:t xml:space="preserve">. </w:t>
      </w:r>
      <w:r>
        <w:rPr>
          <w:rFonts w:hint="eastAsia"/>
          <w:szCs w:val="22"/>
        </w:rPr>
        <w:t>出租方的其他违约责任</w:t>
      </w:r>
    </w:p>
    <w:p>
      <w:pPr>
        <w:rPr>
          <w:szCs w:val="22"/>
        </w:rPr>
      </w:pPr>
      <w:r>
        <w:rPr>
          <w:szCs w:val="22"/>
        </w:rPr>
        <w:t>2. Tanggung jawab lain dari Pemilik Alat atas pelanggaran kontrak</w:t>
      </w:r>
    </w:p>
    <w:p>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pPr>
        <w:rPr>
          <w:szCs w:val="22"/>
        </w:rPr>
      </w:pPr>
      <w:r>
        <w:rPr>
          <w:rFonts w:hint="eastAsia"/>
          <w:szCs w:val="22"/>
        </w:rPr>
        <w:t>2）因出租方操作人员不服从承租方施工安排的，每次给予Rp.400,000的处罚，且承担承租方因误工导致其它设备停机的损失。</w:t>
      </w:r>
    </w:p>
    <w:p>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pPr>
        <w:rPr>
          <w:szCs w:val="22"/>
        </w:rPr>
      </w:pPr>
      <w:r>
        <w:rPr>
          <w:rFonts w:hint="eastAsia"/>
          <w:szCs w:val="22"/>
        </w:rPr>
        <w:t>3）因出租方不按时组织设备退场影响承租方现场施工，承租方有权按Rp.1.000,000/天/台从租赁款中扣除。</w:t>
      </w:r>
    </w:p>
    <w:p>
      <w:pPr>
        <w:rPr>
          <w:szCs w:val="22"/>
        </w:rPr>
      </w:pPr>
      <w:r>
        <w:rPr>
          <w:szCs w:val="22"/>
        </w:rPr>
        <w:t>3) Penyewa memiliki hak untuk mengurangi biaya sewa Pemilik Alat dari Rp.</w:t>
      </w:r>
      <w:r>
        <w:rPr>
          <w:rFonts w:hint="eastAsia"/>
          <w:szCs w:val="22"/>
        </w:rPr>
        <w:t>1.0</w:t>
      </w:r>
      <w:r>
        <w:rPr>
          <w:szCs w:val="22"/>
        </w:rPr>
        <w:t>00.000 / hari karena Pemilik Alat tidak mengatur Demobilisasi peralatan tepat waktu untuk mempengaruhi pembangunan Penyewa di lokasi.</w:t>
      </w:r>
      <w:r>
        <w:rPr>
          <w:rFonts w:hint="eastAsia"/>
          <w:szCs w:val="22"/>
        </w:rPr>
        <w:t xml:space="preserve">   </w:t>
      </w:r>
    </w:p>
    <w:p>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pPr>
        <w:jc w:val="center"/>
        <w:rPr>
          <w:szCs w:val="22"/>
        </w:rPr>
      </w:pPr>
    </w:p>
    <w:p>
      <w:pPr>
        <w:jc w:val="center"/>
        <w:rPr>
          <w:szCs w:val="22"/>
        </w:rPr>
      </w:pPr>
      <w:r>
        <w:rPr>
          <w:rFonts w:hint="eastAsia"/>
          <w:szCs w:val="22"/>
        </w:rPr>
        <w:t>第七条  承租方的违约责任</w:t>
      </w:r>
    </w:p>
    <w:p>
      <w:pPr>
        <w:jc w:val="center"/>
        <w:rPr>
          <w:szCs w:val="22"/>
        </w:rPr>
      </w:pPr>
      <w:r>
        <w:rPr>
          <w:szCs w:val="22"/>
        </w:rPr>
        <w:t>Tanggung jawab Penyewa atas pelanggaran kontrak</w:t>
      </w:r>
    </w:p>
    <w:p>
      <w:pPr>
        <w:rPr>
          <w:szCs w:val="21"/>
        </w:rPr>
      </w:pPr>
    </w:p>
    <w:p>
      <w:pPr>
        <w:rPr>
          <w:szCs w:val="22"/>
        </w:rPr>
      </w:pPr>
      <w:r>
        <w:rPr>
          <w:rFonts w:hint="eastAsia"/>
          <w:szCs w:val="22"/>
        </w:rPr>
        <w:t>1.未经出租方同意，转让、转租或将设备变卖、抵押，出租方有权解除合同并要求收回设备。</w:t>
      </w:r>
    </w:p>
    <w:p>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pPr>
        <w:rPr>
          <w:szCs w:val="22"/>
        </w:rPr>
      </w:pPr>
      <w:r>
        <w:rPr>
          <w:rFonts w:hint="eastAsia"/>
          <w:szCs w:val="22"/>
        </w:rPr>
        <w:t>2 负责赔偿由承租人疏忽造成的设备异常损坏以及使用不良燃料造成的相关损害。</w:t>
      </w:r>
    </w:p>
    <w:p>
      <w:pPr>
        <w:numPr>
          <w:ilvl w:val="0"/>
          <w:numId w:val="8"/>
        </w:numPr>
        <w:ind w:left="0" w:leftChars="0" w:firstLine="0" w:firstLineChars="0"/>
        <w:rPr>
          <w:szCs w:val="22"/>
        </w:rPr>
      </w:pPr>
      <w:r>
        <w:rPr>
          <w:szCs w:val="22"/>
        </w:rPr>
        <w:t>Bertanggung jawab atas kompensasi kelainan atau kerusakan peralatan yang disebabkan oleh kelalaian penyewa dan kerusakan yang relevan dari penggunaan bahan bakar yang buruk.</w:t>
      </w:r>
    </w:p>
    <w:p>
      <w:pPr>
        <w:pStyle w:val="2"/>
        <w:widowControl w:val="0"/>
        <w:numPr>
          <w:ilvl w:val="0"/>
          <w:numId w:val="0"/>
        </w:numPr>
        <w:spacing w:line="360" w:lineRule="auto"/>
        <w:jc w:val="both"/>
      </w:pPr>
    </w:p>
    <w:p>
      <w:pPr>
        <w:pStyle w:val="3"/>
      </w:pPr>
    </w:p>
    <w:p>
      <w:pPr>
        <w:jc w:val="center"/>
        <w:rPr>
          <w:szCs w:val="22"/>
        </w:rPr>
      </w:pPr>
      <w:r>
        <w:rPr>
          <w:rFonts w:hint="eastAsia"/>
          <w:szCs w:val="22"/>
        </w:rPr>
        <w:t>第八条  不可抗力</w:t>
      </w:r>
    </w:p>
    <w:p>
      <w:pPr>
        <w:jc w:val="center"/>
        <w:rPr>
          <w:szCs w:val="22"/>
        </w:rPr>
      </w:pPr>
      <w:r>
        <w:rPr>
          <w:szCs w:val="22"/>
        </w:rPr>
        <w:t>Chapter Eight</w:t>
      </w:r>
      <w:r>
        <w:rPr>
          <w:rFonts w:hint="eastAsia"/>
          <w:szCs w:val="22"/>
        </w:rPr>
        <w:t xml:space="preserve"> </w:t>
      </w:r>
      <w:r>
        <w:rPr>
          <w:szCs w:val="22"/>
        </w:rPr>
        <w:t>Force majeure</w:t>
      </w:r>
    </w:p>
    <w:p>
      <w:pPr>
        <w:rPr>
          <w:szCs w:val="21"/>
        </w:rPr>
      </w:pPr>
    </w:p>
    <w:p>
      <w:pPr>
        <w:rPr>
          <w:szCs w:val="22"/>
        </w:rPr>
      </w:pPr>
      <w:r>
        <w:rPr>
          <w:rFonts w:hint="eastAsia"/>
          <w:szCs w:val="22"/>
        </w:rPr>
        <w:t>双方任何一方由于不可抗力的原因(自然灾害、爆炸、火灾、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pPr>
        <w:jc w:val="center"/>
        <w:rPr>
          <w:szCs w:val="22"/>
        </w:rPr>
      </w:pPr>
    </w:p>
    <w:p>
      <w:pPr>
        <w:jc w:val="center"/>
        <w:rPr>
          <w:szCs w:val="22"/>
        </w:rPr>
      </w:pPr>
      <w:r>
        <w:rPr>
          <w:rFonts w:hint="eastAsia"/>
          <w:szCs w:val="22"/>
        </w:rPr>
        <w:t>第九条  争议的解决</w:t>
      </w:r>
    </w:p>
    <w:p>
      <w:pPr>
        <w:jc w:val="center"/>
        <w:rPr>
          <w:szCs w:val="22"/>
        </w:rPr>
      </w:pPr>
      <w:r>
        <w:rPr>
          <w:szCs w:val="22"/>
        </w:rPr>
        <w:t>Penyelesaian Perselisihan</w:t>
      </w:r>
    </w:p>
    <w:p>
      <w:pPr>
        <w:rPr>
          <w:szCs w:val="21"/>
        </w:rPr>
      </w:pPr>
    </w:p>
    <w:p>
      <w:pPr>
        <w:rPr>
          <w:szCs w:val="22"/>
        </w:rPr>
      </w:pPr>
      <w:r>
        <w:rPr>
          <w:rFonts w:hint="eastAsia"/>
          <w:szCs w:val="22"/>
        </w:rPr>
        <w:t>本合同如发生争议，双方应及时协商解决，协商不成，向承租方单位所在地人民法院起诉。</w:t>
      </w:r>
    </w:p>
    <w:p>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pPr>
        <w:jc w:val="center"/>
        <w:rPr>
          <w:szCs w:val="22"/>
        </w:rPr>
      </w:pPr>
    </w:p>
    <w:p>
      <w:pPr>
        <w:jc w:val="center"/>
        <w:rPr>
          <w:szCs w:val="22"/>
        </w:rPr>
      </w:pPr>
      <w:r>
        <w:rPr>
          <w:rFonts w:hint="eastAsia"/>
          <w:szCs w:val="22"/>
        </w:rPr>
        <w:t>第十条  其他</w:t>
      </w:r>
    </w:p>
    <w:p>
      <w:pPr>
        <w:jc w:val="center"/>
        <w:rPr>
          <w:szCs w:val="22"/>
        </w:rPr>
      </w:pPr>
      <w:r>
        <w:rPr>
          <w:szCs w:val="22"/>
        </w:rPr>
        <w:t>Lainnya</w:t>
      </w:r>
    </w:p>
    <w:p>
      <w:pPr>
        <w:rPr>
          <w:szCs w:val="21"/>
        </w:rPr>
      </w:pPr>
    </w:p>
    <w:p>
      <w:pPr>
        <w:rPr>
          <w:color w:val="auto"/>
          <w:szCs w:val="22"/>
        </w:rPr>
      </w:pPr>
      <w:r>
        <w:rPr>
          <w:rFonts w:hint="eastAsia"/>
          <w:szCs w:val="22"/>
        </w:rPr>
        <w:t>1</w:t>
      </w:r>
      <w:r>
        <w:rPr>
          <w:szCs w:val="22"/>
        </w:rPr>
        <w:t xml:space="preserve">. </w:t>
      </w:r>
      <w:r>
        <w:rPr>
          <w:rFonts w:hint="eastAsia"/>
          <w:szCs w:val="22"/>
        </w:rPr>
        <w:t>本合同一式四份，双方各持二份，具有同等法律效力。</w:t>
      </w:r>
      <w:r>
        <w:rPr>
          <w:rFonts w:hint="eastAsia"/>
          <w:color w:val="auto"/>
          <w:szCs w:val="22"/>
        </w:rPr>
        <w:t>本合同的权利和义务禁止转让</w:t>
      </w:r>
    </w:p>
    <w:p>
      <w:pPr>
        <w:rPr>
          <w:szCs w:val="22"/>
        </w:rPr>
      </w:pPr>
      <w:r>
        <w:rPr>
          <w:szCs w:val="22"/>
        </w:rPr>
        <w:t>1. Kontrak ini dibuat rangkap empat dan masing-masing pihak memiliki dua salinan dengan kekuatan hukum yang sama.</w:t>
      </w:r>
    </w:p>
    <w:p>
      <w:pPr>
        <w:rPr>
          <w:szCs w:val="22"/>
        </w:rPr>
      </w:pPr>
      <w:r>
        <w:rPr>
          <w:rFonts w:hint="eastAsia"/>
          <w:szCs w:val="22"/>
        </w:rPr>
        <w:t>2.本合同签订时间： 2024年</w:t>
      </w:r>
      <w:r>
        <w:rPr>
          <w:szCs w:val="22"/>
        </w:rPr>
        <w:t xml:space="preserve"> </w:t>
      </w:r>
      <w:r>
        <w:rPr>
          <w:rFonts w:hint="eastAsia"/>
          <w:szCs w:val="22"/>
          <w:lang w:val="en-US" w:eastAsia="zh-CN"/>
        </w:rPr>
        <w:t xml:space="preserve">  </w:t>
      </w:r>
      <w:r>
        <w:rPr>
          <w:rFonts w:hint="eastAsia"/>
          <w:szCs w:val="22"/>
        </w:rPr>
        <w:t>月</w:t>
      </w:r>
      <w:r>
        <w:rPr>
          <w:szCs w:val="22"/>
        </w:rPr>
        <w:t xml:space="preserve"> </w:t>
      </w:r>
      <w:r>
        <w:rPr>
          <w:rFonts w:hint="eastAsia"/>
          <w:szCs w:val="22"/>
        </w:rPr>
        <w:t xml:space="preserve"> 日。</w:t>
      </w:r>
    </w:p>
    <w:p>
      <w:pPr>
        <w:rPr>
          <w:szCs w:val="22"/>
        </w:rPr>
      </w:pPr>
      <w:r>
        <w:rPr>
          <w:rFonts w:hint="eastAsia"/>
          <w:szCs w:val="22"/>
        </w:rPr>
        <w:t>2. Tanggal penandatanganan:</w:t>
      </w:r>
      <w:r>
        <w:rPr>
          <w:rFonts w:hint="eastAsia"/>
          <w:szCs w:val="22"/>
          <w:lang w:val="en-US" w:eastAsia="zh-CN"/>
        </w:rPr>
        <w:t xml:space="preserve">  </w:t>
      </w:r>
      <w:r>
        <w:rPr>
          <w:szCs w:val="22"/>
        </w:rPr>
        <w:t xml:space="preserve"> </w:t>
      </w:r>
      <w:r>
        <w:rPr>
          <w:rFonts w:hint="eastAsia"/>
          <w:szCs w:val="22"/>
        </w:rPr>
        <w:t>/</w:t>
      </w:r>
      <w:r>
        <w:rPr>
          <w:rFonts w:hint="eastAsia"/>
          <w:szCs w:val="22"/>
          <w:lang w:val="en-US" w:eastAsia="zh-CN"/>
        </w:rPr>
        <w:t xml:space="preserve">  </w:t>
      </w:r>
      <w:r>
        <w:rPr>
          <w:szCs w:val="22"/>
        </w:rPr>
        <w:t xml:space="preserve"> </w:t>
      </w:r>
      <w:r>
        <w:rPr>
          <w:rFonts w:hint="eastAsia"/>
          <w:szCs w:val="22"/>
        </w:rPr>
        <w:t xml:space="preserve">/2024 </w:t>
      </w:r>
    </w:p>
    <w:p>
      <w:pPr>
        <w:rPr>
          <w:szCs w:val="22"/>
        </w:rPr>
      </w:pPr>
      <w:r>
        <w:rPr>
          <w:szCs w:val="22"/>
        </w:rPr>
        <w:t xml:space="preserve">3. </w:t>
      </w:r>
      <w:r>
        <w:rPr>
          <w:rFonts w:hint="eastAsia"/>
          <w:szCs w:val="22"/>
        </w:rPr>
        <w:t>本合同自签章之日起生效，至设备退场结清费用止自然失效。</w:t>
      </w:r>
    </w:p>
    <w:p>
      <w:pPr>
        <w:rPr>
          <w:szCs w:val="22"/>
        </w:rPr>
      </w:pPr>
      <w:r>
        <w:rPr>
          <w:szCs w:val="22"/>
        </w:rPr>
        <w:t>3. Kontrak ini berlaku sejak tanggal penandatanganan, Secara alami berakhir ketika peralatan Demobilisasi dan biaya sewa diselesaikan.</w:t>
      </w:r>
    </w:p>
    <w:p>
      <w:pPr>
        <w:rPr>
          <w:szCs w:val="22"/>
        </w:rPr>
      </w:pPr>
      <w:r>
        <w:rPr>
          <w:szCs w:val="22"/>
        </w:rPr>
        <w:t xml:space="preserve">4. </w:t>
      </w:r>
      <w:r>
        <w:rPr>
          <w:rFonts w:hint="eastAsia"/>
          <w:szCs w:val="22"/>
        </w:rPr>
        <w:t>本合同未尽事宜，由双方另行签订补充协议，并与本合同具有同等法律效力。</w:t>
      </w:r>
    </w:p>
    <w:p>
      <w:pPr>
        <w:rPr>
          <w:szCs w:val="22"/>
        </w:rPr>
      </w:pPr>
      <w:r>
        <w:rPr>
          <w:szCs w:val="22"/>
        </w:rPr>
        <w:t>4. Jika kontrak tidak selesai, para pihak akan menandatangani perjanjian tambahan secara terpisah dan memiliki efek hukum yang sama dengan kontrak ini.</w:t>
      </w:r>
    </w:p>
    <w:p>
      <w:pPr>
        <w:rPr>
          <w:szCs w:val="22"/>
        </w:rPr>
      </w:pPr>
      <w:r>
        <w:rPr>
          <w:szCs w:val="22"/>
        </w:rPr>
        <w:t>5</w:t>
      </w:r>
      <w:r>
        <w:rPr>
          <w:rFonts w:hint="eastAsia"/>
          <w:szCs w:val="22"/>
        </w:rPr>
        <w:t>.当印尼文与中文表达的内容不同时，以中文表达的内容为主。</w:t>
      </w:r>
    </w:p>
    <w:p>
      <w:pPr>
        <w:rPr>
          <w:szCs w:val="22"/>
        </w:rPr>
      </w:pPr>
      <w:r>
        <w:rPr>
          <w:szCs w:val="22"/>
        </w:rPr>
        <w:t>5</w:t>
      </w:r>
      <w:r>
        <w:rPr>
          <w:rFonts w:hint="eastAsia"/>
          <w:szCs w:val="22"/>
        </w:rPr>
        <w:t>.Ketika konten ekspresi India dan Cina berbeda, konten ekspresi Cina adalah yang utama.</w:t>
      </w:r>
    </w:p>
    <w:tbl>
      <w:tblPr>
        <w:tblStyle w:val="14"/>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Calibri" w:hAnsi="Calibri"/>
                <w:sz w:val="20"/>
                <w:szCs w:val="21"/>
              </w:rPr>
            </w:pPr>
            <w:r>
              <w:rPr>
                <w:rFonts w:hint="eastAsia" w:ascii="Calibri" w:hAnsi="Calibri"/>
                <w:sz w:val="20"/>
                <w:szCs w:val="21"/>
              </w:rPr>
              <w:t>承租方</w:t>
            </w:r>
          </w:p>
          <w:p>
            <w:pPr>
              <w:spacing w:line="320" w:lineRule="exact"/>
              <w:jc w:val="center"/>
              <w:rPr>
                <w:rFonts w:ascii="Calibri" w:hAnsi="Calibri"/>
                <w:sz w:val="20"/>
                <w:szCs w:val="21"/>
              </w:rPr>
            </w:pPr>
            <w:r>
              <w:rPr>
                <w:rFonts w:ascii="Calibri" w:hAnsi="Calibri"/>
                <w:sz w:val="20"/>
                <w:szCs w:val="21"/>
              </w:rPr>
              <w:t>Penyewa</w:t>
            </w:r>
          </w:p>
          <w:p>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pPr>
              <w:spacing w:line="320" w:lineRule="exact"/>
              <w:rPr>
                <w:rFonts w:hint="eastAsia" w:ascii="Calibri" w:hAnsi="Calibri"/>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pPr>
              <w:spacing w:line="320" w:lineRule="exact"/>
              <w:rPr>
                <w:rFonts w:hint="eastAsia" w:ascii="Calibri" w:hAnsi="Calibri"/>
                <w:sz w:val="20"/>
                <w:szCs w:val="21"/>
                <w:lang w:val="en-US" w:eastAsia="zh-CN"/>
              </w:rPr>
            </w:pPr>
            <w:r>
              <w:rPr>
                <w:rFonts w:ascii="Calibri" w:hAnsi="Calibri"/>
                <w:sz w:val="20"/>
                <w:szCs w:val="21"/>
              </w:rPr>
              <w:t>Perwakilan hukum:</w:t>
            </w:r>
            <w:r>
              <w:rPr>
                <w:rFonts w:hint="eastAsia" w:ascii="Calibri" w:hAnsi="Calibri"/>
                <w:sz w:val="20"/>
                <w:szCs w:val="21"/>
                <w:lang w:val="en-US" w:eastAsia="zh-CN"/>
              </w:rPr>
              <w:t>Jiang Jian</w:t>
            </w:r>
          </w:p>
          <w:p>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pPr>
              <w:spacing w:line="320" w:lineRule="exact"/>
              <w:rPr>
                <w:rFonts w:ascii="Calibri" w:hAnsi="Calibri"/>
                <w:sz w:val="20"/>
                <w:szCs w:val="21"/>
              </w:rPr>
            </w:pPr>
            <w:r>
              <w:rPr>
                <w:rFonts w:ascii="Calibri" w:hAnsi="Calibri"/>
                <w:sz w:val="20"/>
                <w:szCs w:val="21"/>
              </w:rPr>
              <w:t>电话：021 62313078</w:t>
            </w:r>
          </w:p>
          <w:p>
            <w:pPr>
              <w:spacing w:line="320" w:lineRule="exact"/>
              <w:rPr>
                <w:rFonts w:ascii="Calibri" w:hAnsi="Calibri"/>
                <w:sz w:val="20"/>
                <w:szCs w:val="21"/>
              </w:rPr>
            </w:pPr>
            <w:r>
              <w:rPr>
                <w:rFonts w:ascii="Calibri" w:hAnsi="Calibri"/>
                <w:sz w:val="20"/>
                <w:szCs w:val="21"/>
              </w:rPr>
              <w:t>Telepon:021 62313078</w:t>
            </w:r>
          </w:p>
          <w:p>
            <w:pPr>
              <w:spacing w:line="320" w:lineRule="exact"/>
              <w:rPr>
                <w:rFonts w:ascii="Calibri" w:hAnsi="Calibri"/>
                <w:sz w:val="20"/>
                <w:szCs w:val="21"/>
              </w:rPr>
            </w:pPr>
            <w:r>
              <w:rPr>
                <w:rFonts w:hint="eastAsia" w:ascii="Calibri" w:hAnsi="Calibri"/>
                <w:sz w:val="20"/>
                <w:szCs w:val="21"/>
              </w:rPr>
              <w:t>传真：</w:t>
            </w:r>
          </w:p>
          <w:p>
            <w:pPr>
              <w:spacing w:line="320" w:lineRule="exact"/>
              <w:rPr>
                <w:rFonts w:ascii="Calibri" w:hAnsi="Calibri"/>
                <w:sz w:val="20"/>
                <w:szCs w:val="21"/>
              </w:rPr>
            </w:pPr>
            <w:r>
              <w:rPr>
                <w:rFonts w:ascii="Calibri" w:hAnsi="Calibri"/>
                <w:sz w:val="20"/>
                <w:szCs w:val="21"/>
              </w:rPr>
              <w:t>Faks:</w:t>
            </w:r>
          </w:p>
          <w:p>
            <w:pPr>
              <w:spacing w:line="320" w:lineRule="exact"/>
              <w:rPr>
                <w:rFonts w:ascii="Calibri" w:hAnsi="Calibri"/>
                <w:sz w:val="20"/>
                <w:szCs w:val="21"/>
              </w:rPr>
            </w:pPr>
            <w:r>
              <w:rPr>
                <w:rFonts w:ascii="Calibri" w:hAnsi="Calibri"/>
                <w:sz w:val="20"/>
                <w:szCs w:val="21"/>
              </w:rPr>
              <w:t>开户行：Bank of China (HONG KONG) LIMITED</w:t>
            </w:r>
          </w:p>
          <w:p>
            <w:pPr>
              <w:spacing w:line="320" w:lineRule="exact"/>
              <w:rPr>
                <w:rFonts w:ascii="Calibri" w:hAnsi="Calibri"/>
                <w:sz w:val="20"/>
                <w:szCs w:val="21"/>
              </w:rPr>
            </w:pPr>
            <w:r>
              <w:rPr>
                <w:rFonts w:ascii="Calibri" w:hAnsi="Calibri"/>
                <w:sz w:val="20"/>
                <w:szCs w:val="21"/>
              </w:rPr>
              <w:t>Rekening bank: Bank of China (HONG KONG) LIMITED</w:t>
            </w:r>
          </w:p>
          <w:p>
            <w:pPr>
              <w:spacing w:line="320" w:lineRule="exact"/>
              <w:rPr>
                <w:rFonts w:ascii="Calibri" w:hAnsi="Calibri"/>
                <w:sz w:val="20"/>
                <w:szCs w:val="21"/>
              </w:rPr>
            </w:pPr>
            <w:r>
              <w:rPr>
                <w:rFonts w:ascii="Calibri" w:hAnsi="Calibri"/>
                <w:sz w:val="20"/>
                <w:szCs w:val="21"/>
              </w:rPr>
              <w:t>账号：1000 0090 0592 081</w:t>
            </w:r>
          </w:p>
          <w:p>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pPr>
              <w:spacing w:line="320" w:lineRule="exact"/>
              <w:jc w:val="center"/>
            </w:pPr>
            <w:r>
              <w:rPr>
                <w:rFonts w:hint="eastAsia"/>
              </w:rPr>
              <w:t>出租方</w:t>
            </w:r>
          </w:p>
          <w:p>
            <w:pPr>
              <w:spacing w:line="320" w:lineRule="exact"/>
              <w:jc w:val="center"/>
            </w:pPr>
            <w:r>
              <w:t>Pemilik Alat</w:t>
            </w:r>
          </w:p>
          <w:p>
            <w:pPr>
              <w:spacing w:line="320" w:lineRule="exact"/>
            </w:pPr>
            <w:r>
              <w:rPr>
                <w:rFonts w:hint="eastAsia"/>
              </w:rPr>
              <w:t>单位名称：</w:t>
            </w:r>
          </w:p>
          <w:p>
            <w:pPr>
              <w:spacing w:line="320" w:lineRule="exact"/>
            </w:pPr>
            <w:r>
              <w:rPr>
                <w:rFonts w:hint="eastAsia"/>
              </w:rPr>
              <w:t>Nama perusahaan：</w:t>
            </w:r>
          </w:p>
          <w:p>
            <w:pPr>
              <w:spacing w:line="320" w:lineRule="exact"/>
            </w:pPr>
            <w:r>
              <w:rPr>
                <w:rFonts w:hint="eastAsia"/>
              </w:rPr>
              <w:t>法定代表人：</w:t>
            </w:r>
          </w:p>
          <w:p>
            <w:pPr>
              <w:spacing w:line="320" w:lineRule="exact"/>
            </w:pPr>
            <w:r>
              <w:rPr>
                <w:rFonts w:hint="eastAsia"/>
              </w:rPr>
              <w:t xml:space="preserve">Perwakilan hukum:  </w:t>
            </w:r>
          </w:p>
          <w:p>
            <w:pPr>
              <w:spacing w:line="320" w:lineRule="exact"/>
            </w:pPr>
            <w:r>
              <w:rPr>
                <w:rFonts w:hint="eastAsia"/>
              </w:rPr>
              <w:t xml:space="preserve">委托代理人:                  </w:t>
            </w:r>
          </w:p>
          <w:p>
            <w:pPr>
              <w:spacing w:line="320" w:lineRule="exact"/>
            </w:pPr>
            <w:r>
              <w:rPr>
                <w:rFonts w:hint="eastAsia"/>
              </w:rPr>
              <w:t xml:space="preserve">Pengacara:      </w:t>
            </w:r>
          </w:p>
          <w:p>
            <w:pPr>
              <w:spacing w:line="320" w:lineRule="exact"/>
            </w:pPr>
            <w:r>
              <w:rPr>
                <w:rFonts w:hint="eastAsia"/>
              </w:rPr>
              <w:t>电话：</w:t>
            </w:r>
          </w:p>
          <w:p>
            <w:pPr>
              <w:spacing w:line="320" w:lineRule="exact"/>
            </w:pPr>
            <w:r>
              <w:rPr>
                <w:rFonts w:hint="eastAsia"/>
              </w:rPr>
              <w:t xml:space="preserve">Telepon: </w:t>
            </w:r>
          </w:p>
          <w:p>
            <w:pPr>
              <w:spacing w:line="320" w:lineRule="exact"/>
            </w:pPr>
            <w:r>
              <w:rPr>
                <w:rFonts w:hint="eastAsia"/>
              </w:rPr>
              <w:t>传真：</w:t>
            </w:r>
          </w:p>
          <w:p>
            <w:pPr>
              <w:spacing w:line="320" w:lineRule="exact"/>
            </w:pPr>
            <w:r>
              <w:rPr>
                <w:rFonts w:hint="eastAsia"/>
              </w:rPr>
              <w:t>Faks:</w:t>
            </w:r>
          </w:p>
          <w:p>
            <w:pPr>
              <w:spacing w:line="320" w:lineRule="exact"/>
            </w:pPr>
            <w:r>
              <w:rPr>
                <w:rFonts w:hint="eastAsia"/>
              </w:rPr>
              <w:t>开户行：</w:t>
            </w:r>
          </w:p>
          <w:p>
            <w:pPr>
              <w:spacing w:line="320" w:lineRule="exact"/>
            </w:pPr>
            <w:r>
              <w:rPr>
                <w:rFonts w:hint="eastAsia"/>
              </w:rPr>
              <w:t>Rekening bank:</w:t>
            </w:r>
          </w:p>
          <w:p>
            <w:pPr>
              <w:spacing w:line="320" w:lineRule="exact"/>
            </w:pPr>
            <w:r>
              <w:rPr>
                <w:rFonts w:hint="eastAsia"/>
              </w:rPr>
              <w:t>账号</w:t>
            </w:r>
          </w:p>
          <w:p>
            <w:pPr>
              <w:pStyle w:val="2"/>
              <w:ind w:firstLine="0" w:firstLineChars="0"/>
            </w:pPr>
            <w:r>
              <w:rPr>
                <w:rFonts w:hint="eastAsia"/>
              </w:rPr>
              <w:t>Nomor rekening: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2" w:hRule="atLeast"/>
        </w:trPr>
        <w:tc>
          <w:tcPr>
            <w:tcW w:w="511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pPr>
        <w:pStyle w:val="18"/>
        <w:spacing w:line="360" w:lineRule="auto"/>
        <w:ind w:firstLine="0" w:firstLineChars="0"/>
        <w:rPr>
          <w:rFonts w:hint="eastAsia" w:ascii="仿宋_GB2312" w:hAnsi="仿宋_GB2312" w:eastAsia="仿宋_GB2312" w:cs="仿宋_GB2312"/>
          <w:sz w:val="28"/>
          <w:szCs w:val="28"/>
        </w:rPr>
      </w:pPr>
    </w:p>
    <w:p>
      <w:pPr>
        <w:widowControl/>
        <w:shd w:val="clear" w:color="010000" w:fill="FFFFFF"/>
        <w:jc w:val="center"/>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singleLevel"/>
    <w:tmpl w:val="3D5C2567"/>
    <w:lvl w:ilvl="0" w:tentative="0">
      <w:start w:val="6"/>
      <w:numFmt w:val="decimal"/>
      <w:lvlText w:val="%1."/>
      <w:lvlJc w:val="left"/>
      <w:pPr>
        <w:tabs>
          <w:tab w:val="left" w:pos="312"/>
        </w:tabs>
      </w:pPr>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2Y2ZWJlNGQzM2RhOGMzY2Y4NDNlZGMxMWE0MGNiZjUifQ=="/>
  </w:docVars>
  <w:rsids>
    <w:rsidRoot w:val="007101A4"/>
    <w:rsid w:val="00003BE7"/>
    <w:rsid w:val="000057C4"/>
    <w:rsid w:val="00006717"/>
    <w:rsid w:val="00016A09"/>
    <w:rsid w:val="000229C8"/>
    <w:rsid w:val="00035175"/>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A5CF6"/>
    <w:rsid w:val="002D448D"/>
    <w:rsid w:val="002E766C"/>
    <w:rsid w:val="002E7879"/>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3F3D20"/>
    <w:rsid w:val="0041215E"/>
    <w:rsid w:val="00412A37"/>
    <w:rsid w:val="004231B9"/>
    <w:rsid w:val="00424126"/>
    <w:rsid w:val="0042750E"/>
    <w:rsid w:val="00432034"/>
    <w:rsid w:val="00454821"/>
    <w:rsid w:val="00463DBD"/>
    <w:rsid w:val="00486680"/>
    <w:rsid w:val="00486B22"/>
    <w:rsid w:val="00486CB8"/>
    <w:rsid w:val="004944CB"/>
    <w:rsid w:val="004B4B89"/>
    <w:rsid w:val="004C12E0"/>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2347A"/>
    <w:rsid w:val="00A319F6"/>
    <w:rsid w:val="00A35178"/>
    <w:rsid w:val="00A353C3"/>
    <w:rsid w:val="00A37E02"/>
    <w:rsid w:val="00A44CF1"/>
    <w:rsid w:val="00A64405"/>
    <w:rsid w:val="00A66293"/>
    <w:rsid w:val="00A715C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BE122A"/>
    <w:rsid w:val="00C02905"/>
    <w:rsid w:val="00C27F06"/>
    <w:rsid w:val="00C33490"/>
    <w:rsid w:val="00C6078E"/>
    <w:rsid w:val="00C64E29"/>
    <w:rsid w:val="00C70F94"/>
    <w:rsid w:val="00C8261A"/>
    <w:rsid w:val="00C85CE9"/>
    <w:rsid w:val="00CC5885"/>
    <w:rsid w:val="00CE4B7E"/>
    <w:rsid w:val="00CE61C6"/>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0CD3"/>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0FD051A"/>
    <w:rsid w:val="015C477A"/>
    <w:rsid w:val="026F7F54"/>
    <w:rsid w:val="03397A34"/>
    <w:rsid w:val="039757AF"/>
    <w:rsid w:val="03AA58BC"/>
    <w:rsid w:val="03C560A6"/>
    <w:rsid w:val="047254F1"/>
    <w:rsid w:val="053E0B59"/>
    <w:rsid w:val="057E43CC"/>
    <w:rsid w:val="060348DF"/>
    <w:rsid w:val="06A034BA"/>
    <w:rsid w:val="07AC122E"/>
    <w:rsid w:val="08020AB2"/>
    <w:rsid w:val="08EA2A03"/>
    <w:rsid w:val="099F5F28"/>
    <w:rsid w:val="0A805EAF"/>
    <w:rsid w:val="0AF33383"/>
    <w:rsid w:val="0B9642F5"/>
    <w:rsid w:val="0BEA16EF"/>
    <w:rsid w:val="0C2F4E92"/>
    <w:rsid w:val="0C5512E4"/>
    <w:rsid w:val="0C7C2D58"/>
    <w:rsid w:val="0C8D5120"/>
    <w:rsid w:val="0CB54541"/>
    <w:rsid w:val="0D2213D0"/>
    <w:rsid w:val="0D614D52"/>
    <w:rsid w:val="0D6C30FE"/>
    <w:rsid w:val="0DF51721"/>
    <w:rsid w:val="0DFF0389"/>
    <w:rsid w:val="0E0A194C"/>
    <w:rsid w:val="0EA209EC"/>
    <w:rsid w:val="0F6E74C0"/>
    <w:rsid w:val="10AE0C25"/>
    <w:rsid w:val="115D3C51"/>
    <w:rsid w:val="11782272"/>
    <w:rsid w:val="11A16C67"/>
    <w:rsid w:val="11C925ED"/>
    <w:rsid w:val="11EC3DB1"/>
    <w:rsid w:val="122A1783"/>
    <w:rsid w:val="12E64525"/>
    <w:rsid w:val="13060940"/>
    <w:rsid w:val="13A230EF"/>
    <w:rsid w:val="14CC6EAC"/>
    <w:rsid w:val="152957E5"/>
    <w:rsid w:val="156E5E9F"/>
    <w:rsid w:val="175E1575"/>
    <w:rsid w:val="17796937"/>
    <w:rsid w:val="17C81DD4"/>
    <w:rsid w:val="18135B71"/>
    <w:rsid w:val="18863D18"/>
    <w:rsid w:val="197B225B"/>
    <w:rsid w:val="1B1024E4"/>
    <w:rsid w:val="1B296855"/>
    <w:rsid w:val="1BAC3A37"/>
    <w:rsid w:val="1BD937BC"/>
    <w:rsid w:val="1C0E6215"/>
    <w:rsid w:val="1C134E2F"/>
    <w:rsid w:val="1C4F2F8A"/>
    <w:rsid w:val="1DC81128"/>
    <w:rsid w:val="1E663149"/>
    <w:rsid w:val="1E6956AE"/>
    <w:rsid w:val="1EBD60F3"/>
    <w:rsid w:val="1F111D05"/>
    <w:rsid w:val="1F25053B"/>
    <w:rsid w:val="1F6B570A"/>
    <w:rsid w:val="1F862DC3"/>
    <w:rsid w:val="204950FA"/>
    <w:rsid w:val="20504C0F"/>
    <w:rsid w:val="20D17AE7"/>
    <w:rsid w:val="218A1E77"/>
    <w:rsid w:val="21A03B00"/>
    <w:rsid w:val="21DF2F84"/>
    <w:rsid w:val="220E02BA"/>
    <w:rsid w:val="23A13D6C"/>
    <w:rsid w:val="23A15BFA"/>
    <w:rsid w:val="23D36138"/>
    <w:rsid w:val="252B2E13"/>
    <w:rsid w:val="25FE1161"/>
    <w:rsid w:val="263A1BC3"/>
    <w:rsid w:val="268D0CA5"/>
    <w:rsid w:val="26CF1E7C"/>
    <w:rsid w:val="28B66659"/>
    <w:rsid w:val="29BF1437"/>
    <w:rsid w:val="2A932D4A"/>
    <w:rsid w:val="2AC54752"/>
    <w:rsid w:val="2B86726D"/>
    <w:rsid w:val="2BB03BC6"/>
    <w:rsid w:val="2BC63675"/>
    <w:rsid w:val="2C3F795F"/>
    <w:rsid w:val="2C935CD7"/>
    <w:rsid w:val="2C9D5C3F"/>
    <w:rsid w:val="2CF42382"/>
    <w:rsid w:val="2DF800C2"/>
    <w:rsid w:val="2E7C612F"/>
    <w:rsid w:val="2EB87DCF"/>
    <w:rsid w:val="2F7419F2"/>
    <w:rsid w:val="2FA35566"/>
    <w:rsid w:val="2FBC2C35"/>
    <w:rsid w:val="310B501B"/>
    <w:rsid w:val="32707121"/>
    <w:rsid w:val="32B750C5"/>
    <w:rsid w:val="32F71892"/>
    <w:rsid w:val="33587B53"/>
    <w:rsid w:val="33643709"/>
    <w:rsid w:val="33C175CD"/>
    <w:rsid w:val="341E0DE6"/>
    <w:rsid w:val="347D546E"/>
    <w:rsid w:val="34B02C3F"/>
    <w:rsid w:val="35E220CD"/>
    <w:rsid w:val="35FA5F47"/>
    <w:rsid w:val="361C2353"/>
    <w:rsid w:val="365B4905"/>
    <w:rsid w:val="36B77A18"/>
    <w:rsid w:val="36FB2422"/>
    <w:rsid w:val="394079FC"/>
    <w:rsid w:val="39C95197"/>
    <w:rsid w:val="39F450D5"/>
    <w:rsid w:val="3A167FFF"/>
    <w:rsid w:val="3A943936"/>
    <w:rsid w:val="3ACA724A"/>
    <w:rsid w:val="3AD54467"/>
    <w:rsid w:val="3B2B7E97"/>
    <w:rsid w:val="3B690306"/>
    <w:rsid w:val="3BB1060A"/>
    <w:rsid w:val="3BDB1D67"/>
    <w:rsid w:val="3BED2F94"/>
    <w:rsid w:val="3C2C31BC"/>
    <w:rsid w:val="3CEC7BFF"/>
    <w:rsid w:val="3D083A30"/>
    <w:rsid w:val="3D230004"/>
    <w:rsid w:val="3D7F583D"/>
    <w:rsid w:val="3DBC1A54"/>
    <w:rsid w:val="3DEE280E"/>
    <w:rsid w:val="3E291F2D"/>
    <w:rsid w:val="3EAF42C8"/>
    <w:rsid w:val="3F073ADC"/>
    <w:rsid w:val="3FF56CAA"/>
    <w:rsid w:val="400C6096"/>
    <w:rsid w:val="40CD4232"/>
    <w:rsid w:val="415E6958"/>
    <w:rsid w:val="4183143A"/>
    <w:rsid w:val="418C5474"/>
    <w:rsid w:val="42076B60"/>
    <w:rsid w:val="436C268E"/>
    <w:rsid w:val="437C2297"/>
    <w:rsid w:val="43B655A2"/>
    <w:rsid w:val="43F246E1"/>
    <w:rsid w:val="44920244"/>
    <w:rsid w:val="44994503"/>
    <w:rsid w:val="4562127B"/>
    <w:rsid w:val="45655CFD"/>
    <w:rsid w:val="45AC548F"/>
    <w:rsid w:val="45D36C5F"/>
    <w:rsid w:val="4667260C"/>
    <w:rsid w:val="466B6576"/>
    <w:rsid w:val="46916D2E"/>
    <w:rsid w:val="46C64E69"/>
    <w:rsid w:val="47760A08"/>
    <w:rsid w:val="479E07B0"/>
    <w:rsid w:val="48770E1A"/>
    <w:rsid w:val="48D0245A"/>
    <w:rsid w:val="49615F6D"/>
    <w:rsid w:val="49B60858"/>
    <w:rsid w:val="49C85F04"/>
    <w:rsid w:val="4A123B68"/>
    <w:rsid w:val="4A662E1D"/>
    <w:rsid w:val="4A6B6B73"/>
    <w:rsid w:val="4A8432B5"/>
    <w:rsid w:val="4B0A6CF9"/>
    <w:rsid w:val="4B30772D"/>
    <w:rsid w:val="4C342114"/>
    <w:rsid w:val="4CD861EF"/>
    <w:rsid w:val="4D4344CF"/>
    <w:rsid w:val="4DA66ABB"/>
    <w:rsid w:val="4E61350A"/>
    <w:rsid w:val="4E6B2599"/>
    <w:rsid w:val="4EB26E63"/>
    <w:rsid w:val="4F3E4952"/>
    <w:rsid w:val="4F7C5FC7"/>
    <w:rsid w:val="4F973C81"/>
    <w:rsid w:val="4FDF5674"/>
    <w:rsid w:val="507A5E61"/>
    <w:rsid w:val="507D3E47"/>
    <w:rsid w:val="50830E0A"/>
    <w:rsid w:val="509172E8"/>
    <w:rsid w:val="50BE2588"/>
    <w:rsid w:val="50C242BA"/>
    <w:rsid w:val="50CE7706"/>
    <w:rsid w:val="510C7458"/>
    <w:rsid w:val="514D447C"/>
    <w:rsid w:val="51D427FB"/>
    <w:rsid w:val="51DD30A8"/>
    <w:rsid w:val="520B0EF1"/>
    <w:rsid w:val="521F6CBD"/>
    <w:rsid w:val="529370F2"/>
    <w:rsid w:val="52D07AB0"/>
    <w:rsid w:val="54745811"/>
    <w:rsid w:val="555F6D9E"/>
    <w:rsid w:val="56AF1F73"/>
    <w:rsid w:val="56FA45C0"/>
    <w:rsid w:val="579C7611"/>
    <w:rsid w:val="5911672C"/>
    <w:rsid w:val="59F65377"/>
    <w:rsid w:val="5C6B3BFE"/>
    <w:rsid w:val="5CCF1730"/>
    <w:rsid w:val="61205CDC"/>
    <w:rsid w:val="618477B9"/>
    <w:rsid w:val="61C13DE9"/>
    <w:rsid w:val="63AA7892"/>
    <w:rsid w:val="63C049D7"/>
    <w:rsid w:val="63DF1D5E"/>
    <w:rsid w:val="65C40CA2"/>
    <w:rsid w:val="65ED253B"/>
    <w:rsid w:val="66F76E3E"/>
    <w:rsid w:val="67C31DCE"/>
    <w:rsid w:val="67D50BE7"/>
    <w:rsid w:val="67E366DC"/>
    <w:rsid w:val="680B470A"/>
    <w:rsid w:val="69621C5A"/>
    <w:rsid w:val="69CC1940"/>
    <w:rsid w:val="6A015ADB"/>
    <w:rsid w:val="6A223C80"/>
    <w:rsid w:val="6A545ECB"/>
    <w:rsid w:val="6C367E96"/>
    <w:rsid w:val="6CC779DD"/>
    <w:rsid w:val="6CEC41DD"/>
    <w:rsid w:val="6D061B56"/>
    <w:rsid w:val="6D181D2A"/>
    <w:rsid w:val="6D1F090A"/>
    <w:rsid w:val="6DD1609C"/>
    <w:rsid w:val="6EDB7614"/>
    <w:rsid w:val="6EE45116"/>
    <w:rsid w:val="6F1157EC"/>
    <w:rsid w:val="6F965DEE"/>
    <w:rsid w:val="70FD01F7"/>
    <w:rsid w:val="7172232C"/>
    <w:rsid w:val="73432E8B"/>
    <w:rsid w:val="73532842"/>
    <w:rsid w:val="73FB1E2A"/>
    <w:rsid w:val="745F4ACF"/>
    <w:rsid w:val="75A92979"/>
    <w:rsid w:val="75C13A24"/>
    <w:rsid w:val="75CE76D3"/>
    <w:rsid w:val="76E334BA"/>
    <w:rsid w:val="77080C99"/>
    <w:rsid w:val="77162EED"/>
    <w:rsid w:val="778352D0"/>
    <w:rsid w:val="78AE5565"/>
    <w:rsid w:val="7908111E"/>
    <w:rsid w:val="793502A1"/>
    <w:rsid w:val="79D3602A"/>
    <w:rsid w:val="7AC20377"/>
    <w:rsid w:val="7ADE7C31"/>
    <w:rsid w:val="7B5A6DC6"/>
    <w:rsid w:val="7B8641AC"/>
    <w:rsid w:val="7C1435BF"/>
    <w:rsid w:val="7C5941D6"/>
    <w:rsid w:val="7CC57659"/>
    <w:rsid w:val="7D13185D"/>
    <w:rsid w:val="7DE1234A"/>
    <w:rsid w:val="7E5F2131"/>
    <w:rsid w:val="7E8F435C"/>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31"/>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character" w:styleId="12">
    <w:name w:val="Emphasis"/>
    <w:qFormat/>
    <w:uiPriority w:val="99"/>
    <w:rPr>
      <w:rFonts w:cs="Times New Roman"/>
      <w:i/>
      <w:lang w:val="en-US" w:eastAsia="en-US"/>
    </w:rPr>
  </w:style>
  <w:style w:type="character" w:styleId="13">
    <w:name w:val="Hyperlink"/>
    <w:basedOn w:val="11"/>
    <w:unhideWhenUsed/>
    <w:qFormat/>
    <w:uiPriority w:val="0"/>
    <w:rPr>
      <w:color w:val="0000FF"/>
      <w:u w:val="singl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1"/>
    <w:qFormat/>
    <w:uiPriority w:val="0"/>
    <w:rPr>
      <w:rFonts w:hint="eastAsia" w:ascii="宋体" w:hAnsi="宋体" w:eastAsia="宋体" w:cs="宋体"/>
      <w:b/>
      <w:color w:val="000000"/>
      <w:sz w:val="22"/>
      <w:szCs w:val="22"/>
      <w:u w:val="none"/>
    </w:rPr>
  </w:style>
  <w:style w:type="character" w:customStyle="1" w:styleId="28">
    <w:name w:val="font31"/>
    <w:basedOn w:val="11"/>
    <w:qFormat/>
    <w:uiPriority w:val="0"/>
    <w:rPr>
      <w:rFonts w:hint="eastAsia" w:ascii="宋体" w:hAnsi="宋体" w:eastAsia="宋体" w:cs="宋体"/>
      <w:b/>
      <w:color w:val="FF0000"/>
      <w:sz w:val="22"/>
      <w:szCs w:val="22"/>
      <w:u w:val="none"/>
    </w:rPr>
  </w:style>
  <w:style w:type="character" w:customStyle="1" w:styleId="29">
    <w:name w:val="font41"/>
    <w:basedOn w:val="11"/>
    <w:qFormat/>
    <w:uiPriority w:val="0"/>
    <w:rPr>
      <w:rFonts w:hint="eastAsia" w:ascii="宋体" w:hAnsi="宋体" w:eastAsia="宋体" w:cs="宋体"/>
      <w:b/>
      <w:color w:val="FF0000"/>
      <w:sz w:val="22"/>
      <w:szCs w:val="22"/>
      <w:u w:val="none"/>
    </w:rPr>
  </w:style>
  <w:style w:type="character" w:customStyle="1" w:styleId="30">
    <w:name w:val="Unresolved Mention"/>
    <w:basedOn w:val="11"/>
    <w:semiHidden/>
    <w:unhideWhenUsed/>
    <w:qFormat/>
    <w:uiPriority w:val="99"/>
    <w:rPr>
      <w:color w:val="605E5C"/>
      <w:shd w:val="clear" w:color="auto" w:fill="E1DFDD"/>
    </w:rPr>
  </w:style>
  <w:style w:type="character" w:customStyle="1" w:styleId="31">
    <w:name w:val="正文文本 字符"/>
    <w:basedOn w:val="11"/>
    <w:link w:val="2"/>
    <w:qFormat/>
    <w:uiPriority w:val="0"/>
    <w:rPr>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typesetting新</Template>
  <Company>b</Company>
  <Pages>28</Pages>
  <Words>4448</Words>
  <Characters>25355</Characters>
  <Lines>211</Lines>
  <Paragraphs>59</Paragraphs>
  <TotalTime>6</TotalTime>
  <ScaleCrop>false</ScaleCrop>
  <LinksUpToDate>false</LinksUpToDate>
  <CharactersWithSpaces>29744</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朱静玉</cp:lastModifiedBy>
  <cp:lastPrinted>2022-06-09T02:01:00Z</cp:lastPrinted>
  <dcterms:modified xsi:type="dcterms:W3CDTF">2024-09-30T06:13:21Z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126D641B04F04E4DACDBF54F1548B0A6</vt:lpwstr>
  </property>
</Properties>
</file>